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nts/ManropeBold.odttf" ContentType="application/vnd.openxmlformats-officedocument.obfuscatedFont"/>
  <Override PartName="/word/fonts/ManropeRegular.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odttf" ContentType="application/vnd.openxmlformats-officedocument.obfuscatedFont"/>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Kicker"/>
      </w:pPr>
      <w:r>
        <w:t>EXECUTIVE PAPER    OCTOBER 2026</w:t>
      </w:r>
    </w:p>
    <w:p>
      <w:pPr>
        <w:pStyle w:val="Title"/>
      </w:pPr>
      <w:r>
        <w:t>Rethinking customer value</w:t>
        <w:br/>
        <w:t>and the way work gets done</w:t>
      </w:r>
    </w:p>
    <w:p>
      <w:pPr>
        <w:pStyle w:val="Subtitle"/>
      </w:pPr>
      <w:r>
        <w:t>The customer and human thinking behind TIP’s approach</w:t>
      </w:r>
    </w:p>
    <w:p>
      <w:r>
        <w:t>This paper explains the customer and human thinking behind TIP’s approach. AI changes the options available to an organisation and the people it serves. We explore how to judge which changes create value, how to help people make the transition, and how practical learning informs strategy.</w:t>
      </w:r>
    </w:p>
    <w:p>
      <w:r>
        <w:rPr>
          <w:b/>
        </w:rPr>
        <w:t>A customer is anyone who is not you.</w:t>
      </w:r>
      <w:r/>
    </w:p>
    <w:p>
      <w:r>
        <w:t>We use this as a practical mindset: look beyond your own task to the people who depend on its outcome. External customers remain essential. Internally, HR serves managers and employees; Finance helps people make decisions; Legal helps teams pursue opportunities responsibly. Their work contributes to what the enterprise can deliver.</w:t>
      </w:r>
    </w:p>
    <w:p>
      <w:pPr>
        <w:pStyle w:val="Heading2"/>
      </w:pPr>
      <w:r>
        <w:t>Four questions for every leadership team</w:t>
      </w:r>
    </w:p>
    <w:tbl>
      <w:tblPr>
        <w:tblW w:type="auto" w:w="0"/>
        <w:jc w:val="center"/>
        <w:tblLayout w:type="fixed"/>
        <w:tblLook w:firstColumn="1" w:firstRow="1" w:lastColumn="0" w:lastRow="0" w:noHBand="0" w:noVBand="1" w:val="04A0"/>
      </w:tblPr>
      <w:tblGrid>
        <w:gridCol w:w="1800"/>
        <w:gridCol w:w="8194"/>
      </w:tblGrid>
      <w:tr>
        <w:trPr>
          <w:tblHeader/>
          <w:cantSplit/>
        </w:trPr>
        <w:tc>
          <w:tcPr>
            <w:tcW w:type="dxa" w:w="1800"/>
            <w:vAlign w:val="center"/>
            <w:tcMar>
              <w:top w:w="80" w:type="dxa"/>
              <w:bottom w:w="80" w:type="dxa"/>
              <w:left w:w="105" w:type="dxa"/>
              <w:right w:w="105" w:type="dxa"/>
            </w:tcMar>
            <w:shd w:fill="253767"/>
            <w:tcBorders>
              <w:top w:val="single" w:sz="4" w:color="D9D9D9"/>
              <w:left w:val="single" w:sz="4" w:color="D9D9D9"/>
              <w:bottom w:val="single" w:sz="4" w:color="D9D9D9"/>
              <w:right w:val="single" w:sz="4" w:color="D9D9D9"/>
            </w:tcBorders>
          </w:tcPr>
          <w:p>
            <w:pPr>
              <w:pStyle w:val="TableBody"/>
              <w:spacing w:after="0"/>
            </w:pPr>
            <w:r>
              <w:rPr>
                <w:b/>
                <w:color w:val="FFFFFF"/>
              </w:rPr>
              <w:t>Perspective</w:t>
            </w:r>
          </w:p>
        </w:tc>
        <w:tc>
          <w:tcPr>
            <w:tcW w:type="dxa" w:w="8194"/>
            <w:vAlign w:val="center"/>
            <w:tcMar>
              <w:top w:w="80" w:type="dxa"/>
              <w:bottom w:w="80" w:type="dxa"/>
              <w:left w:w="105" w:type="dxa"/>
              <w:right w:w="105" w:type="dxa"/>
            </w:tcMar>
            <w:shd w:fill="253767"/>
            <w:tcBorders>
              <w:top w:val="single" w:sz="4" w:color="D9D9D9"/>
              <w:left w:val="single" w:sz="4" w:color="D9D9D9"/>
              <w:bottom w:val="single" w:sz="4" w:color="D9D9D9"/>
              <w:right w:val="single" w:sz="4" w:color="D9D9D9"/>
            </w:tcBorders>
          </w:tcPr>
          <w:p>
            <w:pPr>
              <w:pStyle w:val="TableBody"/>
              <w:spacing w:after="0"/>
            </w:pPr>
            <w:r>
              <w:rPr>
                <w:b/>
                <w:color w:val="FFFFFF"/>
              </w:rPr>
              <w:t>The question to investigate</w:t>
            </w:r>
          </w:p>
        </w:tc>
      </w:tr>
      <w:tr>
        <w:trPr>
          <w:cantSplit/>
        </w:trPr>
        <w:tc>
          <w:tcPr>
            <w:tcW w:type="dxa" w:w="1800"/>
            <w:vAlign w:val="center"/>
            <w:tcMar>
              <w:top w:w="80" w:type="dxa"/>
              <w:bottom w:w="80" w:type="dxa"/>
              <w:left w:w="105" w:type="dxa"/>
              <w:right w:w="105" w:type="dxa"/>
            </w:tcMar>
            <w:shd w:fill="FFFFFF"/>
            <w:tcBorders>
              <w:top w:val="single" w:sz="4" w:color="D9D9D9"/>
              <w:left w:val="single" w:sz="4" w:color="D9D9D9"/>
              <w:bottom w:val="single" w:sz="4" w:color="D9D9D9"/>
              <w:right w:val="single" w:sz="4" w:color="D9D9D9"/>
            </w:tcBorders>
          </w:tcPr>
          <w:p>
            <w:pPr>
              <w:pStyle w:val="TableBody"/>
              <w:spacing w:after="0"/>
            </w:pPr>
            <w:r>
              <w:rPr>
                <w:b/>
              </w:rPr>
              <w:t>Customers</w:t>
            </w:r>
          </w:p>
        </w:tc>
        <w:tc>
          <w:tcPr>
            <w:tcW w:type="dxa" w:w="8194"/>
            <w:vAlign w:val="center"/>
            <w:tcMar>
              <w:top w:w="80" w:type="dxa"/>
              <w:bottom w:w="80" w:type="dxa"/>
              <w:left w:w="105" w:type="dxa"/>
              <w:right w:w="105" w:type="dxa"/>
            </w:tcMar>
            <w:shd w:fill="FFFFFF"/>
            <w:tcBorders>
              <w:top w:val="single" w:sz="4" w:color="D9D9D9"/>
              <w:left w:val="single" w:sz="4" w:color="D9D9D9"/>
              <w:bottom w:val="single" w:sz="4" w:color="D9D9D9"/>
              <w:right w:val="single" w:sz="4" w:color="D9D9D9"/>
            </w:tcBorders>
          </w:tcPr>
          <w:p>
            <w:pPr>
              <w:pStyle w:val="TableBody"/>
              <w:spacing w:after="0"/>
            </w:pPr>
            <w:r>
              <w:rPr>
                <w:b w:val="0"/>
              </w:rPr>
              <w:t>What could they now expect, do themselves or obtain elsewhere?</w:t>
            </w:r>
          </w:p>
        </w:tc>
      </w:tr>
      <w:tr>
        <w:trPr>
          <w:cantSplit/>
        </w:trPr>
        <w:tc>
          <w:tcPr>
            <w:tcW w:type="dxa" w:w="1800"/>
            <w:vAlign w:val="center"/>
            <w:tcMar>
              <w:top w:w="80" w:type="dxa"/>
              <w:bottom w:w="80" w:type="dxa"/>
              <w:left w:w="105" w:type="dxa"/>
              <w:right w:w="105" w:type="dxa"/>
            </w:tcMar>
            <w:shd w:fill="F3F5F8"/>
            <w:tcBorders>
              <w:top w:val="single" w:sz="4" w:color="D9D9D9"/>
              <w:left w:val="single" w:sz="4" w:color="D9D9D9"/>
              <w:bottom w:val="single" w:sz="4" w:color="D9D9D9"/>
              <w:right w:val="single" w:sz="4" w:color="D9D9D9"/>
            </w:tcBorders>
          </w:tcPr>
          <w:p>
            <w:pPr>
              <w:pStyle w:val="TableBody"/>
              <w:spacing w:after="0"/>
            </w:pPr>
            <w:r>
              <w:rPr>
                <w:b/>
              </w:rPr>
              <w:t>The business</w:t>
            </w:r>
          </w:p>
        </w:tc>
        <w:tc>
          <w:tcPr>
            <w:tcW w:type="dxa" w:w="8194"/>
            <w:vAlign w:val="center"/>
            <w:tcMar>
              <w:top w:w="80" w:type="dxa"/>
              <w:bottom w:w="80" w:type="dxa"/>
              <w:left w:w="105" w:type="dxa"/>
              <w:right w:w="105" w:type="dxa"/>
            </w:tcMar>
            <w:shd w:fill="F3F5F8"/>
            <w:tcBorders>
              <w:top w:val="single" w:sz="4" w:color="D9D9D9"/>
              <w:left w:val="single" w:sz="4" w:color="D9D9D9"/>
              <w:bottom w:val="single" w:sz="4" w:color="D9D9D9"/>
              <w:right w:val="single" w:sz="4" w:color="D9D9D9"/>
            </w:tcBorders>
          </w:tcPr>
          <w:p>
            <w:pPr>
              <w:pStyle w:val="TableBody"/>
              <w:spacing w:after="0"/>
            </w:pPr>
            <w:r>
              <w:rPr>
                <w:b w:val="0"/>
              </w:rPr>
              <w:t>What will they value and pay for, and which assumptions underpin our offer?</w:t>
            </w:r>
          </w:p>
        </w:tc>
      </w:tr>
      <w:tr>
        <w:trPr>
          <w:cantSplit/>
        </w:trPr>
        <w:tc>
          <w:tcPr>
            <w:tcW w:type="dxa" w:w="1800"/>
            <w:vAlign w:val="center"/>
            <w:tcMar>
              <w:top w:w="80" w:type="dxa"/>
              <w:bottom w:w="80" w:type="dxa"/>
              <w:left w:w="105" w:type="dxa"/>
              <w:right w:w="105" w:type="dxa"/>
            </w:tcMar>
            <w:shd w:fill="FFFFFF"/>
            <w:tcBorders>
              <w:top w:val="single" w:sz="4" w:color="D9D9D9"/>
              <w:left w:val="single" w:sz="4" w:color="D9D9D9"/>
              <w:bottom w:val="single" w:sz="4" w:color="D9D9D9"/>
              <w:right w:val="single" w:sz="4" w:color="D9D9D9"/>
            </w:tcBorders>
          </w:tcPr>
          <w:p>
            <w:pPr>
              <w:pStyle w:val="TableBody"/>
              <w:spacing w:after="0"/>
            </w:pPr>
            <w:r>
              <w:rPr>
                <w:b/>
              </w:rPr>
              <w:t>Operations</w:t>
            </w:r>
          </w:p>
        </w:tc>
        <w:tc>
          <w:tcPr>
            <w:tcW w:type="dxa" w:w="8194"/>
            <w:vAlign w:val="center"/>
            <w:tcMar>
              <w:top w:w="80" w:type="dxa"/>
              <w:bottom w:w="80" w:type="dxa"/>
              <w:left w:w="105" w:type="dxa"/>
              <w:right w:w="105" w:type="dxa"/>
            </w:tcMar>
            <w:shd w:fill="FFFFFF"/>
            <w:tcBorders>
              <w:top w:val="single" w:sz="4" w:color="D9D9D9"/>
              <w:left w:val="single" w:sz="4" w:color="D9D9D9"/>
              <w:bottom w:val="single" w:sz="4" w:color="D9D9D9"/>
              <w:right w:val="single" w:sz="4" w:color="D9D9D9"/>
            </w:tcBorders>
          </w:tcPr>
          <w:p>
            <w:pPr>
              <w:pStyle w:val="TableBody"/>
              <w:spacing w:after="0"/>
            </w:pPr>
            <w:r>
              <w:rPr>
                <w:b w:val="0"/>
              </w:rPr>
              <w:t>What should we stop, simplify or redesign to improve outcomes and release capacity?</w:t>
            </w:r>
          </w:p>
        </w:tc>
      </w:tr>
      <w:tr>
        <w:trPr>
          <w:cantSplit/>
        </w:trPr>
        <w:tc>
          <w:tcPr>
            <w:tcW w:type="dxa" w:w="1800"/>
            <w:vAlign w:val="center"/>
            <w:tcMar>
              <w:top w:w="80" w:type="dxa"/>
              <w:bottom w:w="80" w:type="dxa"/>
              <w:left w:w="105" w:type="dxa"/>
              <w:right w:w="105" w:type="dxa"/>
            </w:tcMar>
            <w:shd w:fill="F3F5F8"/>
            <w:tcBorders>
              <w:top w:val="single" w:sz="4" w:color="D9D9D9"/>
              <w:left w:val="single" w:sz="4" w:color="D9D9D9"/>
              <w:bottom w:val="single" w:sz="4" w:color="D9D9D9"/>
              <w:right w:val="single" w:sz="4" w:color="D9D9D9"/>
            </w:tcBorders>
          </w:tcPr>
          <w:p>
            <w:pPr>
              <w:pStyle w:val="TableBody"/>
              <w:spacing w:after="0"/>
            </w:pPr>
            <w:r>
              <w:rPr>
                <w:b/>
              </w:rPr>
              <w:t>People</w:t>
            </w:r>
          </w:p>
        </w:tc>
        <w:tc>
          <w:tcPr>
            <w:tcW w:type="dxa" w:w="8194"/>
            <w:vAlign w:val="center"/>
            <w:tcMar>
              <w:top w:w="80" w:type="dxa"/>
              <w:bottom w:w="80" w:type="dxa"/>
              <w:left w:w="105" w:type="dxa"/>
              <w:right w:w="105" w:type="dxa"/>
            </w:tcMar>
            <w:shd w:fill="F3F5F8"/>
            <w:tcBorders>
              <w:top w:val="single" w:sz="4" w:color="D9D9D9"/>
              <w:left w:val="single" w:sz="4" w:color="D9D9D9"/>
              <w:bottom w:val="single" w:sz="4" w:color="D9D9D9"/>
              <w:right w:val="single" w:sz="4" w:color="D9D9D9"/>
            </w:tcBorders>
          </w:tcPr>
          <w:p>
            <w:pPr>
              <w:pStyle w:val="TableBody"/>
              <w:spacing w:after="0"/>
            </w:pPr>
            <w:r>
              <w:rPr>
                <w:b w:val="0"/>
              </w:rPr>
              <w:t>What changes in their work and identity, and what support will help them adapt?</w:t>
            </w:r>
          </w:p>
        </w:tc>
      </w:tr>
    </w:tbl>
    <w:p>
      <w:pPr>
        <w:pStyle w:val="Heading2"/>
        <w:spacing w:before="100"/>
      </w:pPr>
      <w:r>
        <w:t>Reconsider what is possible and what is worthwhile</w:t>
      </w:r>
    </w:p>
    <w:p>
      <w:r>
        <w:t>A useful outcome might be a more informed decision, a resolved problem or a service that becomes affordable to deliver. Faster production is one measure. Effectiveness asks whether we chose the right work and improved the result for the customer. Both should be visible from the first experiment.</w:t>
      </w:r>
    </w:p>
    <w:p>
      <w:r>
        <w:t>An AI-native business designs around AI from the outset. Building Trust is our practical example of taking that approach across operations, software development and go-to-market. It raises questions for established firms about the capital needed to start, the cost to serve and the time required to test an offer. Those economics need measurement in each case.</w:t>
      </w:r>
    </w:p>
    <w:p>
      <w:r>
        <w:t>Just because we can make a change does not mean we should. Customer impact, full costs, reliability and our ability to execute determine whether it deserves investment. The purpose of experimentation is to improve that judgement before a larger commitment.</w:t>
      </w:r>
    </w:p>
    <w:p>
      <w:pPr>
        <w:pStyle w:val="Kicker"/>
        <w:pageBreakBefore/>
      </w:pPr>
      <w:r>
        <w:t>02    THE HUMAN FOUNDATION</w:t>
      </w:r>
    </w:p>
    <w:p>
      <w:pPr>
        <w:pStyle w:val="Heading1"/>
      </w:pPr>
      <w:r>
        <w:t>Make changing the work safe to explore</w:t>
      </w:r>
    </w:p>
    <w:p>
      <w:r>
        <w:t>In our work, we hear versions of “AI will change that sector, but professional judgement makes ours different” and “we tried it before”. These statements may contain valid concerns. They can also become conclusions that prevent us from examining what has changed. Turn them into specific assumptions that can be tested.</w:t>
      </w:r>
    </w:p>
    <w:p>
      <w:r>
        <w:t>For someone with twenty years of professional training, a new way of working can raise deeply personal questions: does my expertise still matter, will I lose influence, and where do I fit next? A challenge to the method may be heard as a challenge to the person. This affects people throughout an organisation, including its leaders.</w:t>
      </w:r>
    </w:p>
    <w:p>
      <w:pPr>
        <w:pStyle w:val="Heading2"/>
      </w:pPr>
      <w:r>
        <w:t>Treat identity and security as part of the work</w:t>
      </w:r>
    </w:p>
    <w:p>
      <w:r>
        <w:t>Our working hypothesis is that technological change can outrun familiar habits, professional identities and institutions. Evolutionary mismatch is one possible lens on changing environments. The cited social-media research offers a conceptual perspective; it does not explain workplace resistance biologically. [1]</w:t>
      </w:r>
    </w:p>
    <w:p>
      <w:r>
        <w:t>Professional identity offers a more direct line of inquiry. A 2025 survey of 413 records and information management professionals in Eastern and Southern Africa examined AI-related identity threat and willingness to use AI. It supports investigating this concern in its specific setting. [2]</w:t>
      </w:r>
    </w:p>
    <w:p>
      <w:r>
        <w:t>A startup can have fewer established systems, revenue streams and roles to defend. It still faces financial and personal risk. An enterprise must change while meeting existing commitments, but it also brings customer relationships, knowledge and resources. The leadership task is to use those strengths while making room to question established ways of working.</w:t>
      </w:r>
    </w:p>
    <w:p>
      <w:pPr>
        <w:pStyle w:val="Heading2"/>
      </w:pPr>
      <w:r>
        <w:t>Challenge assumptions while supporting people</w:t>
      </w:r>
    </w:p>
    <w:p>
      <w:r>
        <w:t>Make it possible to admit uncertainty, report a failed experiment and question a senior person’s preferred answer. Edmondson’s field study of 51 teams found an association between psychological safety and learning behaviour. Safety here means being able to raise concerns; it leaves room for demanding standards and rigorous challenge. [3]</w:t>
      </w:r>
    </w:p>
    <w:p>
      <w:r>
        <w:t>Ask people to help shape the next version of their work. Provide protected learning time, coaching, opportunities to practise and clear explanations of how role decisions will be made. Be honest about what is known and what remains uncertain. Reassurance about future roles only earns trust when supported by action.</w:t>
      </w:r>
    </w:p>
    <w:p>
      <w:r>
        <w:t>AI can help generate alternative explanations and questions, but it can also repeat our framing, reinforce bias or invent evidence. People must understand and verify the analysis. An AI-generated opinion cannot settle a difficult conversation or transfer responsibility away from leadership.</w:t>
      </w:r>
    </w:p>
    <w:p>
      <w:pPr>
        <w:pStyle w:val="Reference"/>
      </w:pPr>
      <w:r/>
      <w:r>
        <w:t xml:space="preserve">[1] </w:t>
      </w:r>
      <w:hyperlink r:id="rId11">
        <w:r>
          <w:rPr>
            <w:color w:val="233B72"/>
            <w:u w:val="single"/>
          </w:rPr>
          <w:t>Lim and Tan • Social Media Ills and Evolutionary Mismatches</w:t>
        </w:r>
      </w:hyperlink>
      <w:r>
        <w:t xml:space="preserve"> • conceptual framework, 2024.</w:t>
      </w:r>
    </w:p>
    <w:p>
      <w:pPr>
        <w:pStyle w:val="Reference"/>
      </w:pPr>
      <w:r/>
      <w:r>
        <w:t xml:space="preserve">[2] </w:t>
      </w:r>
      <w:hyperlink r:id="rId12">
        <w:r>
          <w:rPr>
            <w:color w:val="233B72"/>
            <w:u w:val="single"/>
          </w:rPr>
          <w:t>Shonhe and Min • Mitigating AI induced professional identity threat</w:t>
        </w:r>
      </w:hyperlink>
      <w:r>
        <w:t xml:space="preserve"> • AI and Society, 2025; survey findings.</w:t>
      </w:r>
    </w:p>
    <w:p>
      <w:pPr>
        <w:pStyle w:val="Reference"/>
      </w:pPr>
      <w:r/>
      <w:r>
        <w:t xml:space="preserve">[3] </w:t>
      </w:r>
      <w:hyperlink r:id="rId13">
        <w:r>
          <w:rPr>
            <w:color w:val="233B72"/>
            <w:u w:val="single"/>
          </w:rPr>
          <w:t>Edmondson • Psychological Safety and Learning Behavior in Work Teams</w:t>
        </w:r>
      </w:hyperlink>
      <w:r>
        <w:t xml:space="preserve"> • 1999.</w:t>
      </w:r>
    </w:p>
    <w:p>
      <w:pPr>
        <w:pStyle w:val="Kicker"/>
        <w:pageBreakBefore/>
      </w:pPr>
      <w:r>
        <w:t>03    LEARNING THROUGH REAL WORK</w:t>
      </w:r>
    </w:p>
    <w:p>
      <w:pPr>
        <w:pStyle w:val="Heading1"/>
      </w:pPr>
      <w:r>
        <w:t>Build capability and evidence together</w:t>
      </w:r>
    </w:p>
    <w:p>
      <w:r>
        <w:t>We begin with a real customer problem and a manageable piece of work. Observe what happens today, establish a baseline and identify the assumption that matters most. A prototype, a changed conversation or a simpler handover may be enough to test it. The smallest useful experiment is the one that informs a decision.</w:t>
      </w:r>
    </w:p>
    <w:p>
      <w:pPr>
        <w:pStyle w:val="Heading2"/>
      </w:pPr>
      <w:r>
        <w:t>Learn the mindset and method by using them</w:t>
      </w:r>
    </w:p>
    <w:p>
      <w:r>
        <w:t>PERSONAL develops practical fluency and the habit of checking understanding. Shared work then develops customer insight, redesigned workflows and appropriate automation. Personas can emerge at any stage; ACCELERATE develops them in depth. The methodology companion maps the session build and its outputs.</w:t>
      </w:r>
    </w:p>
    <w:p>
      <w:r>
        <w:t>Mindset includes curiosity, critical thinking, creativity and examining assumptions. Method combines technology with reframing, customer inquiry, experiments and delivery. We practise them together on work that matters to the people involved.</w:t>
      </w:r>
    </w:p>
    <w:tbl>
      <w:tblPr>
        <w:tblW w:type="auto" w:w="0"/>
        <w:jc w:val="center"/>
        <w:tblLayout w:type="fixed"/>
        <w:tblLook w:firstColumn="1" w:firstRow="1" w:lastColumn="0" w:lastRow="0" w:noHBand="0" w:noVBand="1" w:val="04A0"/>
      </w:tblPr>
      <w:tblGrid>
        <w:gridCol w:w="2275"/>
        <w:gridCol w:w="7718"/>
      </w:tblGrid>
      <w:tr>
        <w:trPr>
          <w:tblHeader/>
          <w:cantSplit/>
        </w:trPr>
        <w:tc>
          <w:tcPr>
            <w:tcW w:type="dxa" w:w="2275"/>
            <w:vAlign w:val="center"/>
            <w:tcMar>
              <w:top w:w="80" w:type="dxa"/>
              <w:bottom w:w="80" w:type="dxa"/>
              <w:left w:w="105" w:type="dxa"/>
              <w:right w:w="105" w:type="dxa"/>
            </w:tcMar>
            <w:shd w:fill="253767"/>
            <w:tcBorders>
              <w:top w:val="single" w:sz="4" w:color="D9D9D9"/>
              <w:left w:val="single" w:sz="4" w:color="D9D9D9"/>
              <w:bottom w:val="single" w:sz="4" w:color="D9D9D9"/>
              <w:right w:val="single" w:sz="4" w:color="D9D9D9"/>
            </w:tcBorders>
          </w:tcPr>
          <w:p>
            <w:pPr>
              <w:pStyle w:val="TableBody"/>
              <w:spacing w:after="0"/>
            </w:pPr>
            <w:r>
              <w:rPr>
                <w:b/>
                <w:color w:val="FFFFFF"/>
              </w:rPr>
              <w:t>What to learn</w:t>
            </w:r>
          </w:p>
        </w:tc>
        <w:tc>
          <w:tcPr>
            <w:tcW w:type="dxa" w:w="7718"/>
            <w:vAlign w:val="center"/>
            <w:tcMar>
              <w:top w:w="80" w:type="dxa"/>
              <w:bottom w:w="80" w:type="dxa"/>
              <w:left w:w="105" w:type="dxa"/>
              <w:right w:w="105" w:type="dxa"/>
            </w:tcMar>
            <w:shd w:fill="253767"/>
            <w:tcBorders>
              <w:top w:val="single" w:sz="4" w:color="D9D9D9"/>
              <w:left w:val="single" w:sz="4" w:color="D9D9D9"/>
              <w:bottom w:val="single" w:sz="4" w:color="D9D9D9"/>
              <w:right w:val="single" w:sz="4" w:color="D9D9D9"/>
            </w:tcBorders>
          </w:tcPr>
          <w:p>
            <w:pPr>
              <w:pStyle w:val="TableBody"/>
              <w:spacing w:after="0"/>
            </w:pPr>
            <w:r>
              <w:rPr>
                <w:b/>
                <w:color w:val="FFFFFF"/>
              </w:rPr>
              <w:t>Evidence to collect</w:t>
            </w:r>
          </w:p>
        </w:tc>
      </w:tr>
      <w:tr>
        <w:trPr>
          <w:cantSplit/>
        </w:trPr>
        <w:tc>
          <w:tcPr>
            <w:tcW w:type="dxa" w:w="2275"/>
            <w:vAlign w:val="center"/>
            <w:tcMar>
              <w:top w:w="80" w:type="dxa"/>
              <w:bottom w:w="80" w:type="dxa"/>
              <w:left w:w="105" w:type="dxa"/>
              <w:right w:w="105" w:type="dxa"/>
            </w:tcMar>
            <w:shd w:fill="FFFFFF"/>
            <w:tcBorders>
              <w:top w:val="single" w:sz="4" w:color="D9D9D9"/>
              <w:left w:val="single" w:sz="4" w:color="D9D9D9"/>
              <w:bottom w:val="single" w:sz="4" w:color="D9D9D9"/>
              <w:right w:val="single" w:sz="4" w:color="D9D9D9"/>
            </w:tcBorders>
          </w:tcPr>
          <w:p>
            <w:pPr>
              <w:pStyle w:val="TableBody"/>
              <w:spacing w:after="0"/>
            </w:pPr>
            <w:r>
              <w:rPr>
                <w:b/>
              </w:rPr>
              <w:t>Customer value</w:t>
            </w:r>
          </w:p>
        </w:tc>
        <w:tc>
          <w:tcPr>
            <w:tcW w:type="dxa" w:w="7718"/>
            <w:vAlign w:val="center"/>
            <w:tcMar>
              <w:top w:w="80" w:type="dxa"/>
              <w:bottom w:w="80" w:type="dxa"/>
              <w:left w:w="105" w:type="dxa"/>
              <w:right w:w="105" w:type="dxa"/>
            </w:tcMar>
            <w:shd w:fill="FFFFFF"/>
            <w:tcBorders>
              <w:top w:val="single" w:sz="4" w:color="D9D9D9"/>
              <w:left w:val="single" w:sz="4" w:color="D9D9D9"/>
              <w:bottom w:val="single" w:sz="4" w:color="D9D9D9"/>
              <w:right w:val="single" w:sz="4" w:color="D9D9D9"/>
            </w:tcBorders>
          </w:tcPr>
          <w:p>
            <w:pPr>
              <w:pStyle w:val="TableBody"/>
              <w:spacing w:after="0"/>
            </w:pPr>
            <w:r>
              <w:rPr>
                <w:b w:val="0"/>
              </w:rPr>
              <w:t>Did the person achieve the outcome with less difficulty or a better result?</w:t>
            </w:r>
          </w:p>
        </w:tc>
      </w:tr>
      <w:tr>
        <w:trPr>
          <w:cantSplit/>
        </w:trPr>
        <w:tc>
          <w:tcPr>
            <w:tcW w:type="dxa" w:w="2275"/>
            <w:vAlign w:val="center"/>
            <w:tcMar>
              <w:top w:w="80" w:type="dxa"/>
              <w:bottom w:w="80" w:type="dxa"/>
              <w:left w:w="105" w:type="dxa"/>
              <w:right w:w="105" w:type="dxa"/>
            </w:tcMar>
            <w:shd w:fill="F3F5F8"/>
            <w:tcBorders>
              <w:top w:val="single" w:sz="4" w:color="D9D9D9"/>
              <w:left w:val="single" w:sz="4" w:color="D9D9D9"/>
              <w:bottom w:val="single" w:sz="4" w:color="D9D9D9"/>
              <w:right w:val="single" w:sz="4" w:color="D9D9D9"/>
            </w:tcBorders>
          </w:tcPr>
          <w:p>
            <w:pPr>
              <w:pStyle w:val="TableBody"/>
              <w:spacing w:after="0"/>
            </w:pPr>
            <w:r>
              <w:rPr>
                <w:b/>
              </w:rPr>
              <w:t>Effectiveness</w:t>
            </w:r>
          </w:p>
        </w:tc>
        <w:tc>
          <w:tcPr>
            <w:tcW w:type="dxa" w:w="7718"/>
            <w:vAlign w:val="center"/>
            <w:tcMar>
              <w:top w:w="80" w:type="dxa"/>
              <w:bottom w:w="80" w:type="dxa"/>
              <w:left w:w="105" w:type="dxa"/>
              <w:right w:w="105" w:type="dxa"/>
            </w:tcMar>
            <w:shd w:fill="F3F5F8"/>
            <w:tcBorders>
              <w:top w:val="single" w:sz="4" w:color="D9D9D9"/>
              <w:left w:val="single" w:sz="4" w:color="D9D9D9"/>
              <w:bottom w:val="single" w:sz="4" w:color="D9D9D9"/>
              <w:right w:val="single" w:sz="4" w:color="D9D9D9"/>
            </w:tcBorders>
          </w:tcPr>
          <w:p>
            <w:pPr>
              <w:pStyle w:val="TableBody"/>
              <w:spacing w:after="0"/>
            </w:pPr>
            <w:r>
              <w:rPr>
                <w:b w:val="0"/>
              </w:rPr>
              <w:t>Did decision quality, accuracy or service improve against a defined standard?</w:t>
            </w:r>
          </w:p>
        </w:tc>
      </w:tr>
      <w:tr>
        <w:trPr>
          <w:cantSplit/>
        </w:trPr>
        <w:tc>
          <w:tcPr>
            <w:tcW w:type="dxa" w:w="2275"/>
            <w:vAlign w:val="center"/>
            <w:tcMar>
              <w:top w:w="80" w:type="dxa"/>
              <w:bottom w:w="80" w:type="dxa"/>
              <w:left w:w="105" w:type="dxa"/>
              <w:right w:w="105" w:type="dxa"/>
            </w:tcMar>
            <w:shd w:fill="FFFFFF"/>
            <w:tcBorders>
              <w:top w:val="single" w:sz="4" w:color="D9D9D9"/>
              <w:left w:val="single" w:sz="4" w:color="D9D9D9"/>
              <w:bottom w:val="single" w:sz="4" w:color="D9D9D9"/>
              <w:right w:val="single" w:sz="4" w:color="D9D9D9"/>
            </w:tcBorders>
          </w:tcPr>
          <w:p>
            <w:pPr>
              <w:pStyle w:val="TableBody"/>
              <w:spacing w:after="0"/>
            </w:pPr>
            <w:r>
              <w:rPr>
                <w:b/>
              </w:rPr>
              <w:t>Capacity</w:t>
            </w:r>
          </w:p>
        </w:tc>
        <w:tc>
          <w:tcPr>
            <w:tcW w:type="dxa" w:w="7718"/>
            <w:vAlign w:val="center"/>
            <w:tcMar>
              <w:top w:w="80" w:type="dxa"/>
              <w:bottom w:w="80" w:type="dxa"/>
              <w:left w:w="105" w:type="dxa"/>
              <w:right w:w="105" w:type="dxa"/>
            </w:tcMar>
            <w:shd w:fill="FFFFFF"/>
            <w:tcBorders>
              <w:top w:val="single" w:sz="4" w:color="D9D9D9"/>
              <w:left w:val="single" w:sz="4" w:color="D9D9D9"/>
              <w:bottom w:val="single" w:sz="4" w:color="D9D9D9"/>
              <w:right w:val="single" w:sz="4" w:color="D9D9D9"/>
            </w:tcBorders>
          </w:tcPr>
          <w:p>
            <w:pPr>
              <w:pStyle w:val="TableBody"/>
              <w:spacing w:after="0"/>
            </w:pPr>
            <w:r>
              <w:rPr>
                <w:b w:val="0"/>
              </w:rPr>
              <w:t>How much effort was released after review, exceptions and rework?</w:t>
            </w:r>
          </w:p>
        </w:tc>
      </w:tr>
      <w:tr>
        <w:trPr>
          <w:cantSplit/>
        </w:trPr>
        <w:tc>
          <w:tcPr>
            <w:tcW w:type="dxa" w:w="2275"/>
            <w:vAlign w:val="center"/>
            <w:tcMar>
              <w:top w:w="80" w:type="dxa"/>
              <w:bottom w:w="80" w:type="dxa"/>
              <w:left w:w="105" w:type="dxa"/>
              <w:right w:w="105" w:type="dxa"/>
            </w:tcMar>
            <w:shd w:fill="F3F5F8"/>
            <w:tcBorders>
              <w:top w:val="single" w:sz="4" w:color="D9D9D9"/>
              <w:left w:val="single" w:sz="4" w:color="D9D9D9"/>
              <w:bottom w:val="single" w:sz="4" w:color="D9D9D9"/>
              <w:right w:val="single" w:sz="4" w:color="D9D9D9"/>
            </w:tcBorders>
          </w:tcPr>
          <w:p>
            <w:pPr>
              <w:pStyle w:val="TableBody"/>
              <w:spacing w:after="0"/>
            </w:pPr>
            <w:r>
              <w:rPr>
                <w:b/>
              </w:rPr>
              <w:t>Adoption and capability</w:t>
            </w:r>
          </w:p>
        </w:tc>
        <w:tc>
          <w:tcPr>
            <w:tcW w:type="dxa" w:w="7718"/>
            <w:vAlign w:val="center"/>
            <w:tcMar>
              <w:top w:w="80" w:type="dxa"/>
              <w:bottom w:w="80" w:type="dxa"/>
              <w:left w:w="105" w:type="dxa"/>
              <w:right w:w="105" w:type="dxa"/>
            </w:tcMar>
            <w:shd w:fill="F3F5F8"/>
            <w:tcBorders>
              <w:top w:val="single" w:sz="4" w:color="D9D9D9"/>
              <w:left w:val="single" w:sz="4" w:color="D9D9D9"/>
              <w:bottom w:val="single" w:sz="4" w:color="D9D9D9"/>
              <w:right w:val="single" w:sz="4" w:color="D9D9D9"/>
            </w:tcBorders>
          </w:tcPr>
          <w:p>
            <w:pPr>
              <w:pStyle w:val="TableBody"/>
              <w:spacing w:after="0"/>
            </w:pPr>
            <w:r>
              <w:rPr>
                <w:b w:val="0"/>
              </w:rPr>
              <w:t>Do people use the approach, understand its limits and know when to seek help?</w:t>
            </w:r>
          </w:p>
        </w:tc>
      </w:tr>
      <w:tr>
        <w:trPr>
          <w:cantSplit/>
        </w:trPr>
        <w:tc>
          <w:tcPr>
            <w:tcW w:type="dxa" w:w="2275"/>
            <w:vAlign w:val="center"/>
            <w:tcMar>
              <w:top w:w="80" w:type="dxa"/>
              <w:bottom w:w="80" w:type="dxa"/>
              <w:left w:w="105" w:type="dxa"/>
              <w:right w:w="105" w:type="dxa"/>
            </w:tcMar>
            <w:shd w:fill="FFFFFF"/>
            <w:tcBorders>
              <w:top w:val="single" w:sz="4" w:color="D9D9D9"/>
              <w:left w:val="single" w:sz="4" w:color="D9D9D9"/>
              <w:bottom w:val="single" w:sz="4" w:color="D9D9D9"/>
              <w:right w:val="single" w:sz="4" w:color="D9D9D9"/>
            </w:tcBorders>
          </w:tcPr>
          <w:p>
            <w:pPr>
              <w:pStyle w:val="TableBody"/>
              <w:spacing w:after="0"/>
            </w:pPr>
            <w:r>
              <w:rPr>
                <w:b/>
              </w:rPr>
              <w:t>Economics and operation</w:t>
            </w:r>
          </w:p>
        </w:tc>
        <w:tc>
          <w:tcPr>
            <w:tcW w:type="dxa" w:w="7718"/>
            <w:vAlign w:val="center"/>
            <w:tcMar>
              <w:top w:w="80" w:type="dxa"/>
              <w:bottom w:w="80" w:type="dxa"/>
              <w:left w:w="105" w:type="dxa"/>
              <w:right w:w="105" w:type="dxa"/>
            </w:tcMar>
            <w:shd w:fill="FFFFFF"/>
            <w:tcBorders>
              <w:top w:val="single" w:sz="4" w:color="D9D9D9"/>
              <w:left w:val="single" w:sz="4" w:color="D9D9D9"/>
              <w:bottom w:val="single" w:sz="4" w:color="D9D9D9"/>
              <w:right w:val="single" w:sz="4" w:color="D9D9D9"/>
            </w:tcBorders>
          </w:tcPr>
          <w:p>
            <w:pPr>
              <w:pStyle w:val="TableBody"/>
              <w:spacing w:after="0"/>
            </w:pPr>
            <w:r>
              <w:rPr>
                <w:b w:val="0"/>
              </w:rPr>
              <w:t>What does it cost to integrate, change and run, and who owns failures?</w:t>
            </w:r>
          </w:p>
        </w:tc>
      </w:tr>
    </w:tbl>
    <w:p>
      <w:pPr>
        <w:pStyle w:val="Heading2"/>
        <w:spacing w:before="100"/>
      </w:pPr>
      <w:r>
        <w:t>Use released capacity to prepare for tomorrow</w:t>
      </w:r>
    </w:p>
    <w:p>
      <w:r>
        <w:t>Time released becomes useful when leadership decides how to use it. Some may improve service or reduce cost. Some can create room for customer conversations, research, experiments and developing future skills. Record that allocation so capacity does not quietly disappear into more of the same work.</w:t>
      </w:r>
    </w:p>
    <w:p>
      <w:r>
        <w:t>FUNCTION broadens the discussion to the future purpose of the function. Describe what it could look like in 2028 or 2030, consider its customers today and tomorrow, and use outside-in stimulus to challenge the vision. Test the important assumptions and translate the learning into choices about roles, responsibilities and a roadmap with owners and review dates.</w:t>
      </w:r>
    </w:p>
    <w:p>
      <w:r>
        <w:t>Support for this learning needs to be practical. In Korn Ferry’s 2026 survey of 391 senior leaders involved in AI initiatives, only one in ten described their workforce as extremely ready to use AI. These are leaders’ assessments, but they reinforce the need to examine capability alongside access to tools. [4]</w:t>
      </w:r>
    </w:p>
    <w:p>
      <w:pPr>
        <w:pStyle w:val="Reference"/>
      </w:pPr>
      <w:r/>
      <w:r>
        <w:t xml:space="preserve">[4] </w:t>
      </w:r>
      <w:hyperlink r:id="rId14">
        <w:r>
          <w:rPr>
            <w:color w:val="233B72"/>
            <w:u w:val="single"/>
          </w:rPr>
          <w:t>Korn Ferry • If Everyone Has AI Who Has the Advantage</w:t>
        </w:r>
      </w:hyperlink>
      <w:r>
        <w:t xml:space="preserve"> • 28 August 2026; survey conducted April to June 2026.</w:t>
      </w:r>
    </w:p>
    <w:p>
      <w:pPr>
        <w:pStyle w:val="Kicker"/>
        <w:pageBreakBefore/>
      </w:pPr>
      <w:r>
        <w:t>04    STRATEGIC CHOICE</w:t>
      </w:r>
    </w:p>
    <w:p>
      <w:pPr>
        <w:pStyle w:val="Heading1"/>
      </w:pPr>
      <w:r>
        <w:t>Bring practical learning into strategy</w:t>
      </w:r>
    </w:p>
    <w:p>
      <w:r>
        <w:t>The inside-out view shows what we can now do, what it costs, where work breaks down and what people need to succeed. The outside-in view shows changing customer needs, alternatives, competitors and risks. Together, they help leadership reconsider where the business should compete and how it should operate.</w:t>
      </w:r>
    </w:p>
    <w:p>
      <w:r>
        <w:t>STRATEGIC draws on evidence as it emerges. FUNCTION contributes its vision, customer insight and tested options. ENTERPRISE aligns investment, shared capabilities and operating choices across functions. This is a continuing exchange: strategic priorities guide experiments, and their findings can change those priorities.</w:t>
      </w:r>
    </w:p>
    <w:p>
      <w:pPr>
        <w:pStyle w:val="Heading2"/>
      </w:pPr>
      <w:r>
        <w:t>Decide where the next unit of capacity should go</w:t>
      </w:r>
    </w:p>
    <w:tbl>
      <w:tblPr>
        <w:tblW w:type="auto" w:w="0"/>
        <w:jc w:val="center"/>
        <w:tblLayout w:type="fixed"/>
        <w:tblLook w:firstColumn="1" w:firstRow="1" w:lastColumn="0" w:lastRow="0" w:noHBand="0" w:noVBand="1" w:val="04A0"/>
      </w:tblPr>
      <w:tblGrid>
        <w:gridCol w:w="2362"/>
        <w:gridCol w:w="7632"/>
      </w:tblGrid>
      <w:tr>
        <w:trPr>
          <w:tblHeader/>
          <w:cantSplit/>
        </w:trPr>
        <w:tc>
          <w:tcPr>
            <w:tcW w:type="dxa" w:w="2362"/>
            <w:vAlign w:val="center"/>
            <w:tcMar>
              <w:top w:w="80" w:type="dxa"/>
              <w:bottom w:w="80" w:type="dxa"/>
              <w:left w:w="105" w:type="dxa"/>
              <w:right w:w="105" w:type="dxa"/>
            </w:tcMar>
            <w:shd w:fill="253767"/>
            <w:tcBorders>
              <w:top w:val="single" w:sz="4" w:color="D9D9D9"/>
              <w:left w:val="single" w:sz="4" w:color="D9D9D9"/>
              <w:bottom w:val="single" w:sz="4" w:color="D9D9D9"/>
              <w:right w:val="single" w:sz="4" w:color="D9D9D9"/>
            </w:tcBorders>
          </w:tcPr>
          <w:p>
            <w:pPr>
              <w:pStyle w:val="TableBody"/>
              <w:spacing w:after="0"/>
            </w:pPr>
            <w:r>
              <w:rPr>
                <w:b/>
                <w:color w:val="FFFFFF"/>
              </w:rPr>
              <w:t>Business priority</w:t>
            </w:r>
          </w:p>
        </w:tc>
        <w:tc>
          <w:tcPr>
            <w:tcW w:type="dxa" w:w="7632"/>
            <w:vAlign w:val="center"/>
            <w:tcMar>
              <w:top w:w="80" w:type="dxa"/>
              <w:bottom w:w="80" w:type="dxa"/>
              <w:left w:w="105" w:type="dxa"/>
              <w:right w:w="105" w:type="dxa"/>
            </w:tcMar>
            <w:shd w:fill="253767"/>
            <w:tcBorders>
              <w:top w:val="single" w:sz="4" w:color="D9D9D9"/>
              <w:left w:val="single" w:sz="4" w:color="D9D9D9"/>
              <w:bottom w:val="single" w:sz="4" w:color="D9D9D9"/>
              <w:right w:val="single" w:sz="4" w:color="D9D9D9"/>
            </w:tcBorders>
          </w:tcPr>
          <w:p>
            <w:pPr>
              <w:pStyle w:val="TableBody"/>
              <w:spacing w:after="0"/>
            </w:pPr>
            <w:r>
              <w:rPr>
                <w:b/>
                <w:color w:val="FFFFFF"/>
              </w:rPr>
              <w:t>Possible use of released capacity</w:t>
            </w:r>
          </w:p>
        </w:tc>
      </w:tr>
      <w:tr>
        <w:trPr>
          <w:cantSplit/>
        </w:trPr>
        <w:tc>
          <w:tcPr>
            <w:tcW w:type="dxa" w:w="2362"/>
            <w:vAlign w:val="center"/>
            <w:tcMar>
              <w:top w:w="80" w:type="dxa"/>
              <w:bottom w:w="80" w:type="dxa"/>
              <w:left w:w="105" w:type="dxa"/>
              <w:right w:w="105" w:type="dxa"/>
            </w:tcMar>
            <w:shd w:fill="FFFFFF"/>
            <w:tcBorders>
              <w:top w:val="single" w:sz="4" w:color="D9D9D9"/>
              <w:left w:val="single" w:sz="4" w:color="D9D9D9"/>
              <w:bottom w:val="single" w:sz="4" w:color="D9D9D9"/>
              <w:right w:val="single" w:sz="4" w:color="D9D9D9"/>
            </w:tcBorders>
          </w:tcPr>
          <w:p>
            <w:pPr>
              <w:pStyle w:val="TableBody"/>
              <w:spacing w:after="0"/>
            </w:pPr>
            <w:r>
              <w:rPr>
                <w:b/>
              </w:rPr>
              <w:t>Customer outcomes and growth</w:t>
            </w:r>
          </w:p>
        </w:tc>
        <w:tc>
          <w:tcPr>
            <w:tcW w:type="dxa" w:w="7632"/>
            <w:vAlign w:val="center"/>
            <w:tcMar>
              <w:top w:w="80" w:type="dxa"/>
              <w:bottom w:w="80" w:type="dxa"/>
              <w:left w:w="105" w:type="dxa"/>
              <w:right w:w="105" w:type="dxa"/>
            </w:tcMar>
            <w:shd w:fill="FFFFFF"/>
            <w:tcBorders>
              <w:top w:val="single" w:sz="4" w:color="D9D9D9"/>
              <w:left w:val="single" w:sz="4" w:color="D9D9D9"/>
              <w:bottom w:val="single" w:sz="4" w:color="D9D9D9"/>
              <w:right w:val="single" w:sz="4" w:color="D9D9D9"/>
            </w:tcBorders>
          </w:tcPr>
          <w:p>
            <w:pPr>
              <w:pStyle w:val="TableBody"/>
              <w:spacing w:after="0"/>
            </w:pPr>
            <w:r>
              <w:rPr>
                <w:b w:val="0"/>
              </w:rPr>
              <w:t>Improve service, test a new offer or join a team serving a shared customer journey.</w:t>
            </w:r>
          </w:p>
        </w:tc>
      </w:tr>
      <w:tr>
        <w:trPr>
          <w:cantSplit/>
        </w:trPr>
        <w:tc>
          <w:tcPr>
            <w:tcW w:type="dxa" w:w="2362"/>
            <w:vAlign w:val="center"/>
            <w:tcMar>
              <w:top w:w="80" w:type="dxa"/>
              <w:bottom w:w="80" w:type="dxa"/>
              <w:left w:w="105" w:type="dxa"/>
              <w:right w:w="105" w:type="dxa"/>
            </w:tcMar>
            <w:shd w:fill="F3F5F8"/>
            <w:tcBorders>
              <w:top w:val="single" w:sz="4" w:color="D9D9D9"/>
              <w:left w:val="single" w:sz="4" w:color="D9D9D9"/>
              <w:bottom w:val="single" w:sz="4" w:color="D9D9D9"/>
              <w:right w:val="single" w:sz="4" w:color="D9D9D9"/>
            </w:tcBorders>
          </w:tcPr>
          <w:p>
            <w:pPr>
              <w:pStyle w:val="TableBody"/>
              <w:spacing w:after="0"/>
            </w:pPr>
            <w:r>
              <w:rPr>
                <w:b/>
              </w:rPr>
              <w:t>Risk and resilience</w:t>
            </w:r>
          </w:p>
        </w:tc>
        <w:tc>
          <w:tcPr>
            <w:tcW w:type="dxa" w:w="7632"/>
            <w:vAlign w:val="center"/>
            <w:tcMar>
              <w:top w:w="80" w:type="dxa"/>
              <w:bottom w:w="80" w:type="dxa"/>
              <w:left w:w="105" w:type="dxa"/>
              <w:right w:w="105" w:type="dxa"/>
            </w:tcMar>
            <w:shd w:fill="F3F5F8"/>
            <w:tcBorders>
              <w:top w:val="single" w:sz="4" w:color="D9D9D9"/>
              <w:left w:val="single" w:sz="4" w:color="D9D9D9"/>
              <w:bottom w:val="single" w:sz="4" w:color="D9D9D9"/>
              <w:right w:val="single" w:sz="4" w:color="D9D9D9"/>
            </w:tcBorders>
          </w:tcPr>
          <w:p>
            <w:pPr>
              <w:pStyle w:val="TableBody"/>
              <w:spacing w:after="0"/>
            </w:pPr>
            <w:r>
              <w:rPr>
                <w:b w:val="0"/>
              </w:rPr>
              <w:t>Investigate emerging exposure, strengthen controls and rehearse responses.</w:t>
            </w:r>
          </w:p>
        </w:tc>
      </w:tr>
      <w:tr>
        <w:trPr>
          <w:cantSplit/>
        </w:trPr>
        <w:tc>
          <w:tcPr>
            <w:tcW w:type="dxa" w:w="2362"/>
            <w:vAlign w:val="center"/>
            <w:tcMar>
              <w:top w:w="80" w:type="dxa"/>
              <w:bottom w:w="80" w:type="dxa"/>
              <w:left w:w="105" w:type="dxa"/>
              <w:right w:w="105" w:type="dxa"/>
            </w:tcMar>
            <w:shd w:fill="FFFFFF"/>
            <w:tcBorders>
              <w:top w:val="single" w:sz="4" w:color="D9D9D9"/>
              <w:left w:val="single" w:sz="4" w:color="D9D9D9"/>
              <w:bottom w:val="single" w:sz="4" w:color="D9D9D9"/>
              <w:right w:val="single" w:sz="4" w:color="D9D9D9"/>
            </w:tcBorders>
          </w:tcPr>
          <w:p>
            <w:pPr>
              <w:pStyle w:val="TableBody"/>
              <w:spacing w:after="0"/>
            </w:pPr>
            <w:r>
              <w:rPr>
                <w:b/>
              </w:rPr>
              <w:t>Future capability</w:t>
            </w:r>
          </w:p>
        </w:tc>
        <w:tc>
          <w:tcPr>
            <w:tcW w:type="dxa" w:w="7632"/>
            <w:vAlign w:val="center"/>
            <w:tcMar>
              <w:top w:w="80" w:type="dxa"/>
              <w:bottom w:w="80" w:type="dxa"/>
              <w:left w:w="105" w:type="dxa"/>
              <w:right w:w="105" w:type="dxa"/>
            </w:tcMar>
            <w:shd w:fill="FFFFFF"/>
            <w:tcBorders>
              <w:top w:val="single" w:sz="4" w:color="D9D9D9"/>
              <w:left w:val="single" w:sz="4" w:color="D9D9D9"/>
              <w:bottom w:val="single" w:sz="4" w:color="D9D9D9"/>
              <w:right w:val="single" w:sz="4" w:color="D9D9D9"/>
            </w:tcBorders>
          </w:tcPr>
          <w:p>
            <w:pPr>
              <w:pStyle w:val="TableBody"/>
              <w:spacing w:after="0"/>
            </w:pPr>
            <w:r>
              <w:rPr>
                <w:b w:val="0"/>
              </w:rPr>
              <w:t>Learn new skills, test business assumptions and explore tomorrow’s customer needs.</w:t>
            </w:r>
          </w:p>
        </w:tc>
      </w:tr>
      <w:tr>
        <w:trPr>
          <w:cantSplit/>
        </w:trPr>
        <w:tc>
          <w:tcPr>
            <w:tcW w:type="dxa" w:w="2362"/>
            <w:vAlign w:val="center"/>
            <w:tcMar>
              <w:top w:w="80" w:type="dxa"/>
              <w:bottom w:w="80" w:type="dxa"/>
              <w:left w:w="105" w:type="dxa"/>
              <w:right w:w="105" w:type="dxa"/>
            </w:tcMar>
            <w:shd w:fill="F3F5F8"/>
            <w:tcBorders>
              <w:top w:val="single" w:sz="4" w:color="D9D9D9"/>
              <w:left w:val="single" w:sz="4" w:color="D9D9D9"/>
              <w:bottom w:val="single" w:sz="4" w:color="D9D9D9"/>
              <w:right w:val="single" w:sz="4" w:color="D9D9D9"/>
            </w:tcBorders>
          </w:tcPr>
          <w:p>
            <w:pPr>
              <w:pStyle w:val="TableBody"/>
              <w:spacing w:after="0"/>
            </w:pPr>
            <w:r>
              <w:rPr>
                <w:b/>
              </w:rPr>
              <w:t>Cost and sustainability</w:t>
            </w:r>
          </w:p>
        </w:tc>
        <w:tc>
          <w:tcPr>
            <w:tcW w:type="dxa" w:w="7632"/>
            <w:vAlign w:val="center"/>
            <w:tcMar>
              <w:top w:w="80" w:type="dxa"/>
              <w:bottom w:w="80" w:type="dxa"/>
              <w:left w:w="105" w:type="dxa"/>
              <w:right w:w="105" w:type="dxa"/>
            </w:tcMar>
            <w:shd w:fill="F3F5F8"/>
            <w:tcBorders>
              <w:top w:val="single" w:sz="4" w:color="D9D9D9"/>
              <w:left w:val="single" w:sz="4" w:color="D9D9D9"/>
              <w:bottom w:val="single" w:sz="4" w:color="D9D9D9"/>
              <w:right w:val="single" w:sz="4" w:color="D9D9D9"/>
            </w:tcBorders>
          </w:tcPr>
          <w:p>
            <w:pPr>
              <w:pStyle w:val="TableBody"/>
              <w:spacing w:after="0"/>
            </w:pPr>
            <w:r>
              <w:rPr>
                <w:b w:val="0"/>
              </w:rPr>
              <w:t>Simplify the operating model or change resourcing after assessing delivery and transition needs.</w:t>
            </w:r>
          </w:p>
        </w:tc>
      </w:tr>
    </w:tbl>
    <w:p>
      <w:pPr>
        <w:spacing w:before="100"/>
      </w:pPr>
      <w:r>
        <w:t>These choices can create tension between functions. Something that helps the enterprise may reduce one leader’s budget, status or control. Make the incentives and trade-offs discussable. The executive team owns decisions about priorities and people; a transformation office can support the evidence and delivery, but cannot make that accountability disappear.</w:t>
      </w:r>
    </w:p>
    <w:p>
      <w:pPr>
        <w:pStyle w:val="Heading2"/>
      </w:pPr>
      <w:r>
        <w:t>Match the pace of learning to the exposure</w:t>
      </w:r>
    </w:p>
    <w:p>
      <w:r>
        <w:t>Quicker experiments can make assumption testing more accessible. Customers and competitors can use similar capabilities, so internal improvement alone does not establish that we are keeping pace. Review high-impact assumptions when relevant evidence changes. Include the consequence of being wrong and the time it would take to respond.</w:t>
      </w:r>
    </w:p>
    <w:p>
      <w:r>
        <w:t>Choose one consequential customer problem. Agree an owner, technical partners, baseline, budget, review date and stop criteria. Bring the evidence and people implications to STRATEGIC: invest, adapt, buy, partner or stop.</w:t>
      </w:r>
    </w:p>
    <w:p>
      <w:pPr>
        <w:pStyle w:val="Heading2"/>
      </w:pPr>
      <w:r>
        <w:t>Mindset and method create money and momentum</w:t>
      </w:r>
    </w:p>
    <w:p>
      <w:r>
        <w:t>Mindset + Method = Money &amp; Momentum connects these ideas. Value depends on better outcomes and viable economics; momentum depends on people who can learn and deliver again. Leadership creates those conditions and owns the choices that follow.</w:t>
      </w:r>
    </w:p>
    <w:p>
      <w:pPr>
        <w:pStyle w:val="Reference"/>
      </w:pPr>
      <w:r>
        <w:t xml:space="preserve">Explore the approach: </w:t>
      </w:r>
      <w:hyperlink r:id="rId16">
        <w:r>
          <w:rPr>
            <w:color w:val="233B72"/>
            <w:u w:val="single"/>
          </w:rPr>
          <w:t>Organisation journeys</w:t>
        </w:r>
      </w:hyperlink>
      <w:r>
        <w:t xml:space="preserve"> · </w:t>
      </w:r>
      <w:hyperlink r:id="rId17">
        <w:r>
          <w:rPr>
            <w:color w:val="233B72"/>
            <w:u w:val="single"/>
          </w:rPr>
          <w:t>FUNCTION</w:t>
        </w:r>
      </w:hyperlink>
      <w:r>
        <w:t xml:space="preserve"> · </w:t>
      </w:r>
      <w:hyperlink r:id="rId18">
        <w:r>
          <w:rPr>
            <w:color w:val="233B72"/>
            <w:u w:val="single"/>
          </w:rPr>
          <w:t>STRATEGIC</w:t>
        </w:r>
      </w:hyperlink>
    </w:p>
    <w:p>
      <w:pPr>
        <w:pStyle w:val="Reference"/>
      </w:pPr>
      <w:r>
        <w:t xml:space="preserve">Go deeper: </w:t>
      </w:r>
      <w:hyperlink r:id="rId19">
        <w:r>
          <w:rPr>
            <w:color w:val="233B72"/>
            <w:u w:val="single"/>
          </w:rPr>
          <w:t>Method and references</w:t>
        </w:r>
      </w:hyperlink>
      <w:r>
        <w:t xml:space="preserve"> · </w:t>
      </w:r>
      <w:hyperlink r:id="rId20">
        <w:r>
          <w:rPr>
            <w:color w:val="233B72"/>
            <w:u w:val="single"/>
          </w:rPr>
          <w:t>Read and listen</w:t>
        </w:r>
      </w:hyperlink>
    </w:p>
    <w:sectPr w:rsidR="00FC693F" w:rsidRPr="0006063C" w:rsidSect="00034616">
      <w:headerReference w:type="default" r:id="rId9"/>
      <w:footerReference w:type="default" r:id="rId10"/>
      <w:pgSz w:w="12240" w:h="15840"/>
      <w:pgMar w:top="1224" w:right="1123" w:bottom="1008" w:left="1123" w:header="288"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Manrope">
    <w:family w:val="swiss"/>
    <w:embedRegular r:id="rIdTIPFontRegular" w:fontKey="{85169D30-6059-41D0-9A02-033B930EA058}" w:subsetted="false"/>
    <w:embedBold r:id="rIdTIPFontBold" w:fontKey="{10C27C6C-C7BF-4D04-82BA-9EFCEBF52DDE}" w:subsetted="false"/>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994" w:val="right"/>
      </w:tabs>
      <w:spacing w:before="0" w:after="0"/>
    </w:pPr>
    <w:r>
      <w:rPr>
        <w:sz w:val="16"/>
      </w:rPr>
      <w:t>THE INCREMENTAL PATHWAY  |  OCTOBER 2026</w:t>
      <w:tab/>
    </w:r>
    <w:r>
      <w:rPr>
        <w:sz w:val="18"/>
      </w:rPr>
      <w:fldChar w:fldCharType="begin"/>
      <w:instrText>PAGE</w:instrText>
      <w:fldChar w:fldCharType="end"/>
    </w:r>
    <w:r>
      <w:rPr>
        <w:sz w:val="18"/>
      </w:rPr>
      <w:t xml:space="preserve"> / </w:t>
    </w:r>
    <w:r>
      <w:rPr>
        <w:sz w:val="18"/>
      </w:rPr>
      <w:fldChar w:fldCharType="begin"/>
      <w:instrText>NUMPAGES</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pPr>
    <w:r>
      <w:drawing>
        <wp:inline xmlns:a="http://schemas.openxmlformats.org/drawingml/2006/main" xmlns:pic="http://schemas.openxmlformats.org/drawingml/2006/picture">
          <wp:extent cx="1627632" cy="484632"/>
          <wp:docPr id="1" name="Picture 1" descr="The Incremental Pathway logo"/>
          <wp:cNvGraphicFramePr>
            <a:graphicFrameLocks noChangeAspect="1"/>
          </wp:cNvGraphicFramePr>
          <a:graphic>
            <a:graphicData uri="http://schemas.openxmlformats.org/drawingml/2006/picture">
              <pic:pic>
                <pic:nvPicPr>
                  <pic:cNvPr id="0" name="tip-logo-revised.png"/>
                  <pic:cNvPicPr/>
                </pic:nvPicPr>
                <pic:blipFill>
                  <a:blip r:embed="rId1"/>
                  <a:srcRect l="4000" r="2000" t="27000" b="27000"/>
                  <a:stretch>
                    <a:fillRect/>
                  </a:stretch>
                </pic:blipFill>
                <pic:spPr>
                  <a:xfrm>
                    <a:off x="0" y="0"/>
                    <a:ext cx="1627632" cy="484632"/>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embedTrueTypeFon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84" w:lineRule="exact" w:after="90"/>
    </w:pPr>
    <w:rPr>
      <w:rFonts w:ascii="Manrope" w:hAnsi="Manrope" w:eastAsia="Manrope" w:cs="Manrope"/>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Manrope" w:hAnsi="Manrope" w:eastAsia="Manrope" w:cs="Manrope"/>
      <w:color w:val="000000"/>
    </w:rPr>
  </w:style>
  <w:style w:type="character" w:customStyle="1" w:styleId="HeaderChar">
    <w:name w:val="Header Char"/>
    <w:basedOn w:val="DefaultParagraphFont"/>
    <w:link w:val="Header"/>
    <w:uiPriority w:val="99"/>
    <w:rsid w:val="00E618BF"/>
    <w:rPr>
      <w:rFonts w:ascii="Manrope" w:hAnsi="Manrope" w:eastAsia="Manrope" w:cs="Manrope"/>
    </w:rPr>
  </w:style>
  <w:style w:type="paragraph" w:styleId="Footer">
    <w:name w:val="footer"/>
    <w:basedOn w:val="Normal"/>
    <w:link w:val="FooterChar"/>
    <w:uiPriority w:val="99"/>
    <w:unhideWhenUsed/>
    <w:rsid w:val="00E618BF"/>
    <w:pPr>
      <w:spacing w:after="0" w:line="240" w:lineRule="auto"/>
    </w:pPr>
    <w:rPr>
      <w:rFonts w:ascii="Manrope" w:hAnsi="Manrope" w:eastAsia="Manrope" w:cs="Manrope"/>
      <w:color w:val="000000"/>
    </w:rPr>
  </w:style>
  <w:style w:type="character" w:customStyle="1" w:styleId="FooterChar">
    <w:name w:val="Footer Char"/>
    <w:basedOn w:val="DefaultParagraphFont"/>
    <w:link w:val="Footer"/>
    <w:uiPriority w:val="99"/>
    <w:rsid w:val="00E618BF"/>
    <w:rPr>
      <w:rFonts w:ascii="Manrope" w:hAnsi="Manrope" w:eastAsia="Manrope" w:cs="Manrope"/>
    </w:rPr>
  </w:style>
  <w:style w:type="paragraph" w:styleId="Heading1">
    <w:name w:val="heading 1"/>
    <w:basedOn w:val="Normal"/>
    <w:next w:val="Normal"/>
    <w:link w:val="Heading1Char"/>
    <w:uiPriority w:val="9"/>
    <w:qFormat/>
    <w:rsid w:val="00FC693F"/>
    <w:pPr>
      <w:keepNext/>
      <w:keepLines/>
      <w:spacing w:before="0" w:after="140" w:line="500" w:lineRule="exact"/>
      <w:outlineLvl w:val="0"/>
    </w:pPr>
    <w:rPr>
      <w:rFonts w:ascii="Manrope" w:hAnsi="Manrope" w:eastAsia="Manrope" w:cs="Manrope"/>
      <w:b/>
      <w:bCs/>
      <w:color w:val="000000"/>
      <w:sz w:val="42"/>
      <w:szCs w:val="28"/>
    </w:rPr>
  </w:style>
  <w:style w:type="paragraph" w:styleId="Heading2">
    <w:name w:val="heading 2"/>
    <w:basedOn w:val="Normal"/>
    <w:next w:val="Normal"/>
    <w:link w:val="Heading2Char"/>
    <w:uiPriority w:val="9"/>
    <w:unhideWhenUsed/>
    <w:qFormat/>
    <w:rsid w:val="00FC693F"/>
    <w:pPr>
      <w:keepNext/>
      <w:keepLines/>
      <w:spacing w:before="160" w:after="120" w:line="340" w:lineRule="exact"/>
      <w:outlineLvl w:val="1"/>
    </w:pPr>
    <w:rPr>
      <w:rFonts w:ascii="Manrope" w:hAnsi="Manrope" w:eastAsia="Manrope" w:cs="Manrope"/>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Manrope" w:hAnsi="Manrope" w:eastAsia="Manrope" w:cs="Manrope"/>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Manrope" w:hAnsi="Manrope" w:eastAsia="Manrope" w:cs="Manrope"/>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Manrope" w:hAnsi="Manrope" w:eastAsia="Manrope" w:cs="Manrope"/>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Manrope" w:hAnsi="Manrope" w:eastAsia="Manrope" w:cs="Manrope"/>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Manrope" w:hAnsi="Manrope" w:eastAsia="Manrope" w:cs="Manrope"/>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Manrope" w:hAnsi="Manrope" w:eastAsia="Manrope" w:cs="Manrope"/>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Manrope" w:hAnsi="Manrope" w:eastAsia="Manrope" w:cs="Manrope"/>
      <w:i/>
      <w:iCs/>
      <w:color w:val="404040" w:themeColor="text1" w:themeTint="BF"/>
      <w:sz w:val="20"/>
      <w:szCs w:val="20"/>
    </w:rPr>
  </w:style>
  <w:style w:type="character" w:default="1" w:styleId="DefaultParagraphFont">
    <w:name w:val="Default Paragraph Font"/>
    <w:uiPriority w:val="1"/>
    <w:semiHidden/>
    <w:unhideWhenUsed/>
    <w:rPr>
      <w:rFonts w:ascii="Manrope" w:hAnsi="Manrope" w:eastAsia="Manrope" w:cs="Manrope"/>
    </w:rPr>
  </w:style>
  <w:style w:type="table" w:default="1" w:styleId="TableNormal">
    <w:name w:val="Normal Table"/>
    <w:uiPriority w:val="99"/>
    <w:semiHidden/>
    <w:unhideWhenUsed/>
    <w:rPr>
      <w:rFonts w:ascii="Manrope" w:hAnsi="Manrope" w:eastAsia="Manrope" w:cs="Manrope"/>
    </w:rPr>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rPr>
      <w:rFonts w:ascii="Manrope" w:hAnsi="Manrope" w:eastAsia="Manrope" w:cs="Manrope"/>
    </w:rPr>
  </w:style>
  <w:style w:type="character" w:customStyle="1" w:styleId="Heading1Char">
    <w:name w:val="Heading 1 Char"/>
    <w:basedOn w:val="DefaultParagraphFont"/>
    <w:link w:val="Heading1"/>
    <w:uiPriority w:val="9"/>
    <w:rsid w:val="00FC693F"/>
    <w:rPr>
      <w:rFonts w:ascii="Manrope" w:hAnsi="Manrope" w:eastAsia="Manrope" w:cs="Manrope"/>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Manrope" w:hAnsi="Manrope" w:eastAsia="Manrope" w:cs="Manrope"/>
      <w:b/>
      <w:bCs/>
      <w:color w:val="4F81BD" w:themeColor="accent1"/>
      <w:sz w:val="26"/>
      <w:szCs w:val="26"/>
    </w:rPr>
  </w:style>
  <w:style w:type="character" w:customStyle="1" w:styleId="Heading3Char">
    <w:name w:val="Heading 3 Char"/>
    <w:basedOn w:val="DefaultParagraphFont"/>
    <w:link w:val="Heading3"/>
    <w:uiPriority w:val="9"/>
    <w:rsid w:val="00FC693F"/>
    <w:rPr>
      <w:rFonts w:ascii="Manrope" w:hAnsi="Manrope" w:eastAsia="Manrope" w:cs="Manrope"/>
      <w:b/>
      <w:bCs/>
      <w:color w:val="4F81BD" w:themeColor="accent1"/>
    </w:rPr>
  </w:style>
  <w:style w:type="paragraph" w:styleId="Title">
    <w:name w:val="Title"/>
    <w:basedOn w:val="Normal"/>
    <w:next w:val="Normal"/>
    <w:link w:val="TitleChar"/>
    <w:uiPriority w:val="10"/>
    <w:qFormat/>
    <w:rsid w:val="00FC693F"/>
    <w:pPr>
      <w:spacing w:after="200" w:line="580" w:lineRule="exact"/>
      <w:contextualSpacing/>
    </w:pPr>
    <w:rPr>
      <w:rFonts w:ascii="Manrope" w:hAnsi="Manrope" w:eastAsia="Manrope" w:cs="Manrope"/>
      <w:b/>
      <w:color w:val="000000"/>
      <w:spacing w:val="5"/>
      <w:kern w:val="28"/>
      <w:sz w:val="50"/>
      <w:szCs w:val="52"/>
    </w:rPr>
  </w:style>
  <w:style w:type="character" w:customStyle="1" w:styleId="TitleChar">
    <w:name w:val="Title Char"/>
    <w:basedOn w:val="DefaultParagraphFont"/>
    <w:link w:val="Title"/>
    <w:uiPriority w:val="10"/>
    <w:rsid w:val="00FC693F"/>
    <w:rPr>
      <w:rFonts w:ascii="Manrope" w:hAnsi="Manrope" w:eastAsia="Manrope" w:cs="Manrope"/>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220"/>
    </w:pPr>
    <w:rPr>
      <w:rFonts w:ascii="Manrope" w:hAnsi="Manrope" w:eastAsia="Manrope" w:cs="Manrope"/>
      <w:i w:val="0"/>
      <w:iCs/>
      <w:color w:val="000000"/>
      <w:sz w:val="22"/>
      <w:szCs w:val="24"/>
    </w:rPr>
  </w:style>
  <w:style w:type="character" w:customStyle="1" w:styleId="SubtitleChar">
    <w:name w:val="Subtitle Char"/>
    <w:basedOn w:val="DefaultParagraphFont"/>
    <w:link w:val="Subtitle"/>
    <w:uiPriority w:val="11"/>
    <w:rsid w:val="00FC693F"/>
    <w:rPr>
      <w:rFonts w:ascii="Manrope" w:hAnsi="Manrope" w:eastAsia="Manrope" w:cs="Manrope"/>
      <w:i/>
      <w:iCs/>
      <w:color w:val="4F81BD" w:themeColor="accent1"/>
      <w:spacing w:val="15"/>
      <w:sz w:val="24"/>
      <w:szCs w:val="24"/>
    </w:rPr>
  </w:style>
  <w:style w:type="paragraph" w:styleId="ListParagraph">
    <w:name w:val="List Paragraph"/>
    <w:basedOn w:val="Normal"/>
    <w:uiPriority w:val="34"/>
    <w:qFormat/>
    <w:rsid w:val="00FC693F"/>
    <w:pPr>
      <w:ind w:left="720"/>
      <w:contextualSpacing/>
    </w:pPr>
    <w:rPr>
      <w:rFonts w:ascii="Manrope" w:hAnsi="Manrope" w:eastAsia="Manrope" w:cs="Manrope"/>
    </w:rPr>
  </w:style>
  <w:style w:type="paragraph" w:styleId="BodyText">
    <w:name w:val="Body Text"/>
    <w:basedOn w:val="Normal"/>
    <w:link w:val="BodyTextChar"/>
    <w:uiPriority w:val="99"/>
    <w:unhideWhenUsed/>
    <w:rsid w:val="00AA1D8D"/>
    <w:pPr>
      <w:spacing w:after="120"/>
    </w:pPr>
    <w:rPr>
      <w:rFonts w:ascii="Manrope" w:hAnsi="Manrope" w:eastAsia="Manrope" w:cs="Manrope"/>
      <w:color w:val="000000"/>
    </w:rPr>
  </w:style>
  <w:style w:type="character" w:customStyle="1" w:styleId="BodyTextChar">
    <w:name w:val="Body Text Char"/>
    <w:basedOn w:val="DefaultParagraphFont"/>
    <w:link w:val="BodyText"/>
    <w:uiPriority w:val="99"/>
    <w:rsid w:val="00AA1D8D"/>
    <w:rPr>
      <w:rFonts w:ascii="Manrope" w:hAnsi="Manrope" w:eastAsia="Manrope" w:cs="Manrope"/>
    </w:rPr>
  </w:style>
  <w:style w:type="paragraph" w:styleId="BodyText2">
    <w:name w:val="Body Text 2"/>
    <w:basedOn w:val="Normal"/>
    <w:link w:val="BodyText2Char"/>
    <w:uiPriority w:val="99"/>
    <w:unhideWhenUsed/>
    <w:rsid w:val="00AA1D8D"/>
    <w:pPr>
      <w:spacing w:after="120" w:line="480" w:lineRule="auto"/>
    </w:pPr>
    <w:rPr>
      <w:rFonts w:ascii="Manrope" w:hAnsi="Manrope" w:eastAsia="Manrope" w:cs="Manrope"/>
    </w:rPr>
  </w:style>
  <w:style w:type="character" w:customStyle="1" w:styleId="BodyText2Char">
    <w:name w:val="Body Text 2 Char"/>
    <w:basedOn w:val="DefaultParagraphFont"/>
    <w:link w:val="BodyText2"/>
    <w:uiPriority w:val="99"/>
    <w:rsid w:val="00AA1D8D"/>
    <w:rPr>
      <w:rFonts w:ascii="Manrope" w:hAnsi="Manrope" w:eastAsia="Manrope" w:cs="Manrope"/>
    </w:rPr>
  </w:style>
  <w:style w:type="paragraph" w:styleId="BodyText3">
    <w:name w:val="Body Text 3"/>
    <w:basedOn w:val="Normal"/>
    <w:link w:val="BodyText3Char"/>
    <w:uiPriority w:val="99"/>
    <w:unhideWhenUsed/>
    <w:rsid w:val="00AA1D8D"/>
    <w:pPr>
      <w:spacing w:after="120"/>
    </w:pPr>
    <w:rPr>
      <w:rFonts w:ascii="Manrope" w:hAnsi="Manrope" w:eastAsia="Manrope" w:cs="Manrope"/>
      <w:sz w:val="16"/>
      <w:szCs w:val="16"/>
    </w:rPr>
  </w:style>
  <w:style w:type="character" w:customStyle="1" w:styleId="BodyText3Char">
    <w:name w:val="Body Text 3 Char"/>
    <w:basedOn w:val="DefaultParagraphFont"/>
    <w:link w:val="BodyText3"/>
    <w:uiPriority w:val="99"/>
    <w:rsid w:val="00AA1D8D"/>
    <w:rPr>
      <w:rFonts w:ascii="Manrope" w:hAnsi="Manrope" w:eastAsia="Manrope" w:cs="Manrope"/>
      <w:sz w:val="16"/>
      <w:szCs w:val="16"/>
    </w:rPr>
  </w:style>
  <w:style w:type="paragraph" w:styleId="List">
    <w:name w:val="List"/>
    <w:basedOn w:val="Normal"/>
    <w:uiPriority w:val="99"/>
    <w:unhideWhenUsed/>
    <w:rsid w:val="00AA1D8D"/>
    <w:pPr>
      <w:ind w:left="360" w:hanging="360"/>
      <w:contextualSpacing/>
    </w:pPr>
    <w:rPr>
      <w:rFonts w:ascii="Manrope" w:hAnsi="Manrope" w:eastAsia="Manrope" w:cs="Manrope"/>
    </w:rPr>
  </w:style>
  <w:style w:type="paragraph" w:styleId="List2">
    <w:name w:val="List 2"/>
    <w:basedOn w:val="Normal"/>
    <w:uiPriority w:val="99"/>
    <w:unhideWhenUsed/>
    <w:rsid w:val="00326F90"/>
    <w:pPr>
      <w:ind w:left="720" w:hanging="360"/>
      <w:contextualSpacing/>
    </w:pPr>
    <w:rPr>
      <w:rFonts w:ascii="Manrope" w:hAnsi="Manrope" w:eastAsia="Manrope" w:cs="Manrope"/>
    </w:rPr>
  </w:style>
  <w:style w:type="paragraph" w:styleId="List3">
    <w:name w:val="List 3"/>
    <w:basedOn w:val="Normal"/>
    <w:uiPriority w:val="99"/>
    <w:unhideWhenUsed/>
    <w:rsid w:val="00326F90"/>
    <w:pPr>
      <w:ind w:left="1080" w:hanging="360"/>
      <w:contextualSpacing/>
    </w:pPr>
    <w:rPr>
      <w:rFonts w:ascii="Manrope" w:hAnsi="Manrope" w:eastAsia="Manrope" w:cs="Manrope"/>
    </w:rPr>
  </w:style>
  <w:style w:type="paragraph" w:styleId="ListBullet">
    <w:name w:val="List Bullet"/>
    <w:basedOn w:val="Normal"/>
    <w:uiPriority w:val="99"/>
    <w:unhideWhenUsed/>
    <w:rsid w:val="00326F90"/>
    <w:pPr>
      <w:numPr>
        <w:numId w:val="1"/>
      </w:numPr>
      <w:contextualSpacing/>
    </w:pPr>
    <w:rPr>
      <w:rFonts w:ascii="Manrope" w:hAnsi="Manrope" w:eastAsia="Manrope" w:cs="Manrope"/>
    </w:rPr>
  </w:style>
  <w:style w:type="paragraph" w:styleId="ListBullet2">
    <w:name w:val="List Bullet 2"/>
    <w:basedOn w:val="Normal"/>
    <w:uiPriority w:val="99"/>
    <w:unhideWhenUsed/>
    <w:rsid w:val="00326F90"/>
    <w:pPr>
      <w:numPr>
        <w:numId w:val="2"/>
      </w:numPr>
      <w:contextualSpacing/>
    </w:pPr>
    <w:rPr>
      <w:rFonts w:ascii="Manrope" w:hAnsi="Manrope" w:eastAsia="Manrope" w:cs="Manrope"/>
    </w:rPr>
  </w:style>
  <w:style w:type="paragraph" w:styleId="ListBullet3">
    <w:name w:val="List Bullet 3"/>
    <w:basedOn w:val="Normal"/>
    <w:uiPriority w:val="99"/>
    <w:unhideWhenUsed/>
    <w:rsid w:val="00326F90"/>
    <w:pPr>
      <w:numPr>
        <w:numId w:val="3"/>
      </w:numPr>
      <w:contextualSpacing/>
    </w:pPr>
    <w:rPr>
      <w:rFonts w:ascii="Manrope" w:hAnsi="Manrope" w:eastAsia="Manrope" w:cs="Manrope"/>
    </w:rPr>
  </w:style>
  <w:style w:type="paragraph" w:styleId="ListNumber">
    <w:name w:val="List Number"/>
    <w:basedOn w:val="Normal"/>
    <w:uiPriority w:val="99"/>
    <w:unhideWhenUsed/>
    <w:rsid w:val="00326F90"/>
    <w:pPr>
      <w:numPr>
        <w:numId w:val="5"/>
      </w:numPr>
      <w:contextualSpacing/>
    </w:pPr>
    <w:rPr>
      <w:rFonts w:ascii="Manrope" w:hAnsi="Manrope" w:eastAsia="Manrope" w:cs="Manrope"/>
    </w:rPr>
  </w:style>
  <w:style w:type="paragraph" w:styleId="ListNumber2">
    <w:name w:val="List Number 2"/>
    <w:basedOn w:val="Normal"/>
    <w:uiPriority w:val="99"/>
    <w:unhideWhenUsed/>
    <w:rsid w:val="0029639D"/>
    <w:pPr>
      <w:numPr>
        <w:numId w:val="6"/>
      </w:numPr>
      <w:contextualSpacing/>
    </w:pPr>
    <w:rPr>
      <w:rFonts w:ascii="Manrope" w:hAnsi="Manrope" w:eastAsia="Manrope" w:cs="Manrope"/>
    </w:rPr>
  </w:style>
  <w:style w:type="paragraph" w:styleId="ListNumber3">
    <w:name w:val="List Number 3"/>
    <w:basedOn w:val="Normal"/>
    <w:uiPriority w:val="99"/>
    <w:unhideWhenUsed/>
    <w:rsid w:val="0029639D"/>
    <w:pPr>
      <w:numPr>
        <w:numId w:val="7"/>
      </w:numPr>
      <w:contextualSpacing/>
    </w:pPr>
    <w:rPr>
      <w:rFonts w:ascii="Manrope" w:hAnsi="Manrope" w:eastAsia="Manrope" w:cs="Manrope"/>
    </w:rPr>
  </w:style>
  <w:style w:type="paragraph" w:styleId="ListContinue">
    <w:name w:val="List Continue"/>
    <w:basedOn w:val="Normal"/>
    <w:uiPriority w:val="99"/>
    <w:unhideWhenUsed/>
    <w:rsid w:val="0029639D"/>
    <w:pPr>
      <w:spacing w:after="120"/>
      <w:ind w:left="360"/>
      <w:contextualSpacing/>
    </w:pPr>
    <w:rPr>
      <w:rFonts w:ascii="Manrope" w:hAnsi="Manrope" w:eastAsia="Manrope" w:cs="Manrope"/>
    </w:rPr>
  </w:style>
  <w:style w:type="paragraph" w:styleId="ListContinue2">
    <w:name w:val="List Continue 2"/>
    <w:basedOn w:val="Normal"/>
    <w:uiPriority w:val="99"/>
    <w:unhideWhenUsed/>
    <w:rsid w:val="0029639D"/>
    <w:pPr>
      <w:spacing w:after="120"/>
      <w:ind w:left="720"/>
      <w:contextualSpacing/>
    </w:pPr>
    <w:rPr>
      <w:rFonts w:ascii="Manrope" w:hAnsi="Manrope" w:eastAsia="Manrope" w:cs="Manrope"/>
    </w:rPr>
  </w:style>
  <w:style w:type="paragraph" w:styleId="ListContinue3">
    <w:name w:val="List Continue 3"/>
    <w:basedOn w:val="Normal"/>
    <w:uiPriority w:val="99"/>
    <w:unhideWhenUsed/>
    <w:rsid w:val="0029639D"/>
    <w:pPr>
      <w:spacing w:after="120"/>
      <w:ind w:left="1080"/>
      <w:contextualSpacing/>
    </w:pPr>
    <w:rPr>
      <w:rFonts w:ascii="Manrope" w:hAnsi="Manrope" w:eastAsia="Manrope" w:cs="Manrope"/>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Manrope" w:hAnsi="Manrope" w:eastAsia="Manrope" w:cs="Manrope"/>
      <w:sz w:val="20"/>
      <w:szCs w:val="20"/>
    </w:rPr>
  </w:style>
  <w:style w:type="character" w:customStyle="1" w:styleId="MacroTextChar">
    <w:name w:val="Macro Text Char"/>
    <w:basedOn w:val="DefaultParagraphFont"/>
    <w:link w:val="MacroText"/>
    <w:uiPriority w:val="99"/>
    <w:rsid w:val="0029639D"/>
    <w:rPr>
      <w:rFonts w:ascii="Manrope" w:hAnsi="Manrope" w:eastAsia="Manrope" w:cs="Manrope"/>
      <w:sz w:val="20"/>
      <w:szCs w:val="20"/>
    </w:rPr>
  </w:style>
  <w:style w:type="paragraph" w:styleId="Quote">
    <w:name w:val="Quote"/>
    <w:basedOn w:val="Normal"/>
    <w:next w:val="Normal"/>
    <w:link w:val="QuoteChar"/>
    <w:uiPriority w:val="29"/>
    <w:qFormat/>
    <w:rsid w:val="00FC693F"/>
    <w:rPr>
      <w:rFonts w:ascii="Manrope" w:hAnsi="Manrope" w:eastAsia="Manrope" w:cs="Manrope"/>
      <w:i/>
      <w:iCs/>
      <w:color w:val="000000" w:themeColor="text1"/>
    </w:rPr>
  </w:style>
  <w:style w:type="character" w:customStyle="1" w:styleId="QuoteChar">
    <w:name w:val="Quote Char"/>
    <w:basedOn w:val="DefaultParagraphFont"/>
    <w:link w:val="Quote"/>
    <w:uiPriority w:val="29"/>
    <w:rsid w:val="00FC693F"/>
    <w:rPr>
      <w:rFonts w:ascii="Manrope" w:hAnsi="Manrope" w:eastAsia="Manrope" w:cs="Manrope"/>
      <w:i/>
      <w:iCs/>
      <w:color w:val="000000" w:themeColor="text1"/>
    </w:rPr>
  </w:style>
  <w:style w:type="character" w:customStyle="1" w:styleId="Heading4Char">
    <w:name w:val="Heading 4 Char"/>
    <w:basedOn w:val="DefaultParagraphFont"/>
    <w:link w:val="Heading4"/>
    <w:uiPriority w:val="9"/>
    <w:semiHidden/>
    <w:rsid w:val="00FC693F"/>
    <w:rPr>
      <w:rFonts w:ascii="Manrope" w:hAnsi="Manrope" w:eastAsia="Manrope" w:cs="Manrope"/>
      <w:b/>
      <w:bCs/>
      <w:i/>
      <w:iCs/>
      <w:color w:val="4F81BD" w:themeColor="accent1"/>
    </w:rPr>
  </w:style>
  <w:style w:type="character" w:customStyle="1" w:styleId="Heading5Char">
    <w:name w:val="Heading 5 Char"/>
    <w:basedOn w:val="DefaultParagraphFont"/>
    <w:link w:val="Heading5"/>
    <w:uiPriority w:val="9"/>
    <w:semiHidden/>
    <w:rsid w:val="00FC693F"/>
    <w:rPr>
      <w:rFonts w:ascii="Manrope" w:hAnsi="Manrope" w:eastAsia="Manrope" w:cs="Manrope"/>
      <w:color w:val="243F60" w:themeColor="accent1" w:themeShade="7F"/>
    </w:rPr>
  </w:style>
  <w:style w:type="character" w:customStyle="1" w:styleId="Heading6Char">
    <w:name w:val="Heading 6 Char"/>
    <w:basedOn w:val="DefaultParagraphFont"/>
    <w:link w:val="Heading6"/>
    <w:uiPriority w:val="9"/>
    <w:semiHidden/>
    <w:rsid w:val="00FC693F"/>
    <w:rPr>
      <w:rFonts w:ascii="Manrope" w:hAnsi="Manrope" w:eastAsia="Manrope" w:cs="Manrope"/>
      <w:i/>
      <w:iCs/>
      <w:color w:val="243F60" w:themeColor="accent1" w:themeShade="7F"/>
    </w:rPr>
  </w:style>
  <w:style w:type="character" w:customStyle="1" w:styleId="Heading7Char">
    <w:name w:val="Heading 7 Char"/>
    <w:basedOn w:val="DefaultParagraphFont"/>
    <w:link w:val="Heading7"/>
    <w:uiPriority w:val="9"/>
    <w:semiHidden/>
    <w:rsid w:val="00FC693F"/>
    <w:rPr>
      <w:rFonts w:ascii="Manrope" w:hAnsi="Manrope" w:eastAsia="Manrope" w:cs="Manrope"/>
      <w:i/>
      <w:iCs/>
      <w:color w:val="404040" w:themeColor="text1" w:themeTint="BF"/>
    </w:rPr>
  </w:style>
  <w:style w:type="character" w:customStyle="1" w:styleId="Heading8Char">
    <w:name w:val="Heading 8 Char"/>
    <w:basedOn w:val="DefaultParagraphFont"/>
    <w:link w:val="Heading8"/>
    <w:uiPriority w:val="9"/>
    <w:semiHidden/>
    <w:rsid w:val="00FC693F"/>
    <w:rPr>
      <w:rFonts w:ascii="Manrope" w:hAnsi="Manrope" w:eastAsia="Manrope" w:cs="Manrope"/>
      <w:color w:val="4F81BD" w:themeColor="accent1"/>
      <w:sz w:val="20"/>
      <w:szCs w:val="20"/>
    </w:rPr>
  </w:style>
  <w:style w:type="character" w:customStyle="1" w:styleId="Heading9Char">
    <w:name w:val="Heading 9 Char"/>
    <w:basedOn w:val="DefaultParagraphFont"/>
    <w:link w:val="Heading9"/>
    <w:uiPriority w:val="9"/>
    <w:semiHidden/>
    <w:rsid w:val="00FC693F"/>
    <w:rPr>
      <w:rFonts w:ascii="Manrope" w:hAnsi="Manrope" w:eastAsia="Manrope" w:cs="Manrope"/>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Manrope" w:hAnsi="Manrope" w:eastAsia="Manrope" w:cs="Manrope"/>
      <w:b/>
      <w:bCs/>
      <w:color w:val="4F81BD" w:themeColor="accent1"/>
      <w:sz w:val="18"/>
      <w:szCs w:val="18"/>
    </w:rPr>
  </w:style>
  <w:style w:type="character" w:styleId="Strong">
    <w:name w:val="Strong"/>
    <w:basedOn w:val="DefaultParagraphFont"/>
    <w:uiPriority w:val="22"/>
    <w:qFormat/>
    <w:rsid w:val="00FC693F"/>
    <w:rPr>
      <w:rFonts w:ascii="Manrope" w:hAnsi="Manrope" w:eastAsia="Manrope" w:cs="Manrope"/>
      <w:b/>
      <w:bCs/>
    </w:rPr>
  </w:style>
  <w:style w:type="character" w:styleId="Emphasis">
    <w:name w:val="Emphasis"/>
    <w:basedOn w:val="DefaultParagraphFont"/>
    <w:uiPriority w:val="20"/>
    <w:qFormat/>
    <w:rsid w:val="00FC693F"/>
    <w:rPr>
      <w:rFonts w:ascii="Manrope" w:hAnsi="Manrope" w:eastAsia="Manrope" w:cs="Manrope"/>
      <w:i/>
      <w:iCs/>
    </w:rPr>
  </w:style>
  <w:style w:type="paragraph" w:styleId="IntenseQuote">
    <w:name w:val="Intense Quote"/>
    <w:basedOn w:val="Normal"/>
    <w:next w:val="Normal"/>
    <w:link w:val="IntenseQuoteChar"/>
    <w:uiPriority w:val="30"/>
    <w:qFormat/>
    <w:rsid w:val="00FC693F"/>
    <w:pPr>
      <w:spacing w:before="200" w:after="280"/>
      <w:ind w:left="936" w:right="936"/>
    </w:pPr>
    <w:rPr>
      <w:rFonts w:ascii="Manrope" w:hAnsi="Manrope" w:eastAsia="Manrope" w:cs="Manrope"/>
      <w:b/>
      <w:bCs/>
      <w:i/>
      <w:iCs/>
      <w:color w:val="4F81BD" w:themeColor="accent1"/>
    </w:rPr>
  </w:style>
  <w:style w:type="character" w:customStyle="1" w:styleId="IntenseQuoteChar">
    <w:name w:val="Intense Quote Char"/>
    <w:basedOn w:val="DefaultParagraphFont"/>
    <w:link w:val="IntenseQuote"/>
    <w:uiPriority w:val="30"/>
    <w:rsid w:val="00FC693F"/>
    <w:rPr>
      <w:rFonts w:ascii="Manrope" w:hAnsi="Manrope" w:eastAsia="Manrope" w:cs="Manrope"/>
      <w:b/>
      <w:bCs/>
      <w:i/>
      <w:iCs/>
      <w:color w:val="4F81BD" w:themeColor="accent1"/>
    </w:rPr>
  </w:style>
  <w:style w:type="character" w:styleId="SubtleEmphasis">
    <w:name w:val="Subtle Emphasis"/>
    <w:basedOn w:val="DefaultParagraphFont"/>
    <w:uiPriority w:val="19"/>
    <w:qFormat/>
    <w:rsid w:val="00FC693F"/>
    <w:rPr>
      <w:rFonts w:ascii="Manrope" w:hAnsi="Manrope" w:eastAsia="Manrope" w:cs="Manrope"/>
      <w:i/>
      <w:iCs/>
      <w:color w:val="808080" w:themeColor="text1" w:themeTint="7F"/>
    </w:rPr>
  </w:style>
  <w:style w:type="character" w:styleId="IntenseEmphasis">
    <w:name w:val="Intense Emphasis"/>
    <w:basedOn w:val="DefaultParagraphFont"/>
    <w:uiPriority w:val="21"/>
    <w:qFormat/>
    <w:rsid w:val="00FC693F"/>
    <w:rPr>
      <w:rFonts w:ascii="Manrope" w:hAnsi="Manrope" w:eastAsia="Manrope" w:cs="Manrope"/>
      <w:b/>
      <w:bCs/>
      <w:i/>
      <w:iCs/>
      <w:color w:val="4F81BD" w:themeColor="accent1"/>
    </w:rPr>
  </w:style>
  <w:style w:type="character" w:styleId="SubtleReference">
    <w:name w:val="Subtle Reference"/>
    <w:basedOn w:val="DefaultParagraphFont"/>
    <w:uiPriority w:val="31"/>
    <w:qFormat/>
    <w:rsid w:val="00FC693F"/>
    <w:rPr>
      <w:rFonts w:ascii="Manrope" w:hAnsi="Manrope" w:eastAsia="Manrope" w:cs="Manrope"/>
      <w:smallCaps/>
      <w:color w:val="C0504D" w:themeColor="accent2"/>
      <w:u w:val="single"/>
    </w:rPr>
  </w:style>
  <w:style w:type="character" w:styleId="IntenseReference">
    <w:name w:val="Intense Reference"/>
    <w:basedOn w:val="DefaultParagraphFont"/>
    <w:uiPriority w:val="32"/>
    <w:qFormat/>
    <w:rsid w:val="00FC693F"/>
    <w:rPr>
      <w:rFonts w:ascii="Manrope" w:hAnsi="Manrope" w:eastAsia="Manrope" w:cs="Manrope"/>
      <w:b/>
      <w:bCs/>
      <w:smallCaps/>
      <w:color w:val="C0504D" w:themeColor="accent2"/>
      <w:spacing w:val="5"/>
      <w:u w:val="single"/>
    </w:rPr>
  </w:style>
  <w:style w:type="character" w:styleId="BookTitle">
    <w:name w:val="Book Title"/>
    <w:basedOn w:val="DefaultParagraphFont"/>
    <w:uiPriority w:val="33"/>
    <w:qFormat/>
    <w:rsid w:val="00FC693F"/>
    <w:rPr>
      <w:rFonts w:ascii="Manrope" w:hAnsi="Manrope" w:eastAsia="Manrope" w:cs="Manrope"/>
      <w:b/>
      <w:bCs/>
      <w:smallCaps/>
      <w:spacing w:val="5"/>
    </w:rPr>
  </w:style>
  <w:style w:type="paragraph" w:styleId="TOCHeading">
    <w:name w:val="TOC Heading"/>
    <w:basedOn w:val="Heading1"/>
    <w:next w:val="Normal"/>
    <w:uiPriority w:val="39"/>
    <w:semiHidden/>
    <w:unhideWhenUsed/>
    <w:qFormat/>
    <w:rsid w:val="00FC693F"/>
    <w:pPr>
      <w:outlineLvl w:val="9"/>
    </w:pPr>
    <w:rPr>
      <w:rFonts w:ascii="Manrope" w:hAnsi="Manrope" w:eastAsia="Manrope" w:cs="Manrope"/>
    </w:rPr>
  </w:style>
  <w:style w:type="table" w:styleId="TableGrid">
    <w:name w:val="Table Grid"/>
    <w:basedOn w:val="TableNormal"/>
    <w:uiPriority w:val="59"/>
    <w:rsid w:val="00FC693F"/>
    <w:pPr>
      <w:spacing w:after="0" w:line="240" w:lineRule="auto"/>
    </w:pPr>
    <w:rPr>
      <w:rFonts w:ascii="Manrope" w:hAnsi="Manrope" w:eastAsia="Manrope" w:cs="Manrop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rFonts w:ascii="Manrope" w:hAnsi="Manrope" w:eastAsia="Manrope" w:cs="Manrope"/>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rFonts w:ascii="Manrope" w:hAnsi="Manrope" w:eastAsia="Manrope" w:cs="Manrope"/>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rFonts w:ascii="Manrope" w:hAnsi="Manrope" w:eastAsia="Manrope" w:cs="Manrope"/>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rFonts w:ascii="Manrope" w:hAnsi="Manrope" w:eastAsia="Manrope" w:cs="Manrope"/>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rFonts w:ascii="Manrope" w:hAnsi="Manrope" w:eastAsia="Manrope" w:cs="Manrope"/>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rFonts w:ascii="Manrope" w:hAnsi="Manrope" w:eastAsia="Manrope" w:cs="Manrope"/>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rFonts w:ascii="Manrope" w:hAnsi="Manrope" w:eastAsia="Manrope" w:cs="Manrope"/>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rPr>
      <w:rFonts w:ascii="Manrope" w:hAnsi="Manrope" w:eastAsia="Manrope" w:cs="Manrope"/>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rPr>
      <w:rFonts w:ascii="Manrope" w:hAnsi="Manrope" w:eastAsia="Manrope" w:cs="Manrope"/>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rPr>
      <w:rFonts w:ascii="Manrope" w:hAnsi="Manrope" w:eastAsia="Manrope" w:cs="Manrope"/>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rPr>
      <w:rFonts w:ascii="Manrope" w:hAnsi="Manrope" w:eastAsia="Manrope" w:cs="Manrope"/>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rPr>
      <w:rFonts w:ascii="Manrope" w:hAnsi="Manrope" w:eastAsia="Manrope" w:cs="Manrope"/>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rPr>
      <w:rFonts w:ascii="Manrope" w:hAnsi="Manrope" w:eastAsia="Manrope" w:cs="Manrope"/>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rPr>
      <w:rFonts w:ascii="Manrope" w:hAnsi="Manrope" w:eastAsia="Manrope" w:cs="Manrope"/>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rPr>
      <w:rFonts w:ascii="Manrope" w:hAnsi="Manrope" w:eastAsia="Manrope" w:cs="Manrope"/>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Manrope" w:hAnsi="Manrope" w:eastAsia="Manrope" w:cs="Manrope"/>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Manrope" w:hAnsi="Manrope" w:eastAsia="Manrope" w:cs="Manrope"/>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Manrope" w:hAnsi="Manrope" w:eastAsia="Manrope" w:cs="Manrope"/>
        <w:b/>
        <w:bCs/>
      </w:rPr>
    </w:tblStylePr>
    <w:tblStylePr w:type="lastCol">
      <w:rPr>
        <w:rFonts w:ascii="Manrope" w:hAnsi="Manrope" w:eastAsia="Manrope" w:cs="Manrope"/>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rPr>
      <w:rFonts w:ascii="Manrope" w:hAnsi="Manrope" w:eastAsia="Manrope" w:cs="Manrope"/>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Manrope" w:hAnsi="Manrope" w:eastAsia="Manrope" w:cs="Manrope"/>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Manrope" w:hAnsi="Manrope" w:eastAsia="Manrope" w:cs="Manrope"/>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Manrope" w:hAnsi="Manrope" w:eastAsia="Manrope" w:cs="Manrope"/>
        <w:b/>
        <w:bCs/>
      </w:rPr>
    </w:tblStylePr>
    <w:tblStylePr w:type="lastCol">
      <w:rPr>
        <w:rFonts w:ascii="Manrope" w:hAnsi="Manrope" w:eastAsia="Manrope" w:cs="Manrope"/>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rPr>
      <w:rFonts w:ascii="Manrope" w:hAnsi="Manrope" w:eastAsia="Manrope" w:cs="Manrope"/>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Manrope" w:hAnsi="Manrope" w:eastAsia="Manrope" w:cs="Manrope"/>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Manrope" w:hAnsi="Manrope" w:eastAsia="Manrope" w:cs="Manrope"/>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Manrope" w:hAnsi="Manrope" w:eastAsia="Manrope" w:cs="Manrope"/>
        <w:b/>
        <w:bCs/>
      </w:rPr>
    </w:tblStylePr>
    <w:tblStylePr w:type="lastCol">
      <w:rPr>
        <w:rFonts w:ascii="Manrope" w:hAnsi="Manrope" w:eastAsia="Manrope" w:cs="Manrope"/>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rPr>
      <w:rFonts w:ascii="Manrope" w:hAnsi="Manrope" w:eastAsia="Manrope" w:cs="Manrope"/>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Manrope" w:hAnsi="Manrope" w:eastAsia="Manrope" w:cs="Manrope"/>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Manrope" w:hAnsi="Manrope" w:eastAsia="Manrope" w:cs="Manrope"/>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Manrope" w:hAnsi="Manrope" w:eastAsia="Manrope" w:cs="Manrope"/>
        <w:b/>
        <w:bCs/>
      </w:rPr>
    </w:tblStylePr>
    <w:tblStylePr w:type="lastCol">
      <w:rPr>
        <w:rFonts w:ascii="Manrope" w:hAnsi="Manrope" w:eastAsia="Manrope" w:cs="Manrope"/>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rPr>
      <w:rFonts w:ascii="Manrope" w:hAnsi="Manrope" w:eastAsia="Manrope" w:cs="Manrope"/>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Manrope" w:hAnsi="Manrope" w:eastAsia="Manrope" w:cs="Manrope"/>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Manrope" w:hAnsi="Manrope" w:eastAsia="Manrope" w:cs="Manrope"/>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Manrope" w:hAnsi="Manrope" w:eastAsia="Manrope" w:cs="Manrope"/>
        <w:b/>
        <w:bCs/>
      </w:rPr>
    </w:tblStylePr>
    <w:tblStylePr w:type="lastCol">
      <w:rPr>
        <w:rFonts w:ascii="Manrope" w:hAnsi="Manrope" w:eastAsia="Manrope" w:cs="Manrope"/>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rPr>
      <w:rFonts w:ascii="Manrope" w:hAnsi="Manrope" w:eastAsia="Manrope" w:cs="Manrope"/>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Manrope" w:hAnsi="Manrope" w:eastAsia="Manrope" w:cs="Manrope"/>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Manrope" w:hAnsi="Manrope" w:eastAsia="Manrope" w:cs="Manrope"/>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Manrope" w:hAnsi="Manrope" w:eastAsia="Manrope" w:cs="Manrope"/>
        <w:b/>
        <w:bCs/>
      </w:rPr>
    </w:tblStylePr>
    <w:tblStylePr w:type="lastCol">
      <w:rPr>
        <w:rFonts w:ascii="Manrope" w:hAnsi="Manrope" w:eastAsia="Manrope" w:cs="Manrope"/>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rPr>
      <w:rFonts w:ascii="Manrope" w:hAnsi="Manrope" w:eastAsia="Manrope" w:cs="Manrope"/>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Manrope" w:hAnsi="Manrope" w:eastAsia="Manrope" w:cs="Manrope"/>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Manrope" w:hAnsi="Manrope" w:eastAsia="Manrope" w:cs="Manrope"/>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Manrope" w:hAnsi="Manrope" w:eastAsia="Manrope" w:cs="Manrope"/>
        <w:b/>
        <w:bCs/>
      </w:rPr>
    </w:tblStylePr>
    <w:tblStylePr w:type="lastCol">
      <w:rPr>
        <w:rFonts w:ascii="Manrope" w:hAnsi="Manrope" w:eastAsia="Manrope" w:cs="Manrope"/>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rPr>
      <w:rFonts w:ascii="Manrope" w:hAnsi="Manrope" w:eastAsia="Manrope" w:cs="Manrope"/>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rPr>
      <w:rFonts w:ascii="Manrope" w:hAnsi="Manrope" w:eastAsia="Manrope" w:cs="Manrope"/>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rPr>
      <w:rFonts w:ascii="Manrope" w:hAnsi="Manrope" w:eastAsia="Manrope" w:cs="Manrope"/>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rPr>
      <w:rFonts w:ascii="Manrope" w:hAnsi="Manrope" w:eastAsia="Manrope" w:cs="Manrope"/>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rPr>
      <w:rFonts w:ascii="Manrope" w:hAnsi="Manrope" w:eastAsia="Manrope" w:cs="Manrope"/>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rPr>
      <w:rFonts w:ascii="Manrope" w:hAnsi="Manrope" w:eastAsia="Manrope" w:cs="Manrope"/>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rPr>
      <w:rFonts w:ascii="Manrope" w:hAnsi="Manrope" w:eastAsia="Manrope" w:cs="Manrope"/>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rPr>
      <w:rFonts w:ascii="Manrope" w:hAnsi="Manrope" w:eastAsia="Manrope" w:cs="Manrope"/>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rPr>
      <w:rFonts w:ascii="Manrope" w:hAnsi="Manrope" w:eastAsia="Manrope" w:cs="Manrope"/>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rPr>
      <w:rFonts w:ascii="Manrope" w:hAnsi="Manrope" w:eastAsia="Manrope" w:cs="Manrope"/>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rPr>
      <w:rFonts w:ascii="Manrope" w:hAnsi="Manrope" w:eastAsia="Manrope" w:cs="Manrope"/>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rPr>
      <w:rFonts w:ascii="Manrope" w:hAnsi="Manrope" w:eastAsia="Manrope" w:cs="Manrope"/>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rPr>
      <w:rFonts w:ascii="Manrope" w:hAnsi="Manrope" w:eastAsia="Manrope" w:cs="Manrope"/>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rPr>
      <w:rFonts w:ascii="Manrope" w:hAnsi="Manrope" w:eastAsia="Manrope" w:cs="Manrope"/>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rFonts w:ascii="Manrope" w:hAnsi="Manrope" w:eastAsia="Manrope" w:cs="Manrope"/>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Manrope" w:hAnsi="Manrope" w:eastAsia="Manrope" w:cs="Manrope"/>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rFonts w:ascii="Manrope" w:hAnsi="Manrope" w:eastAsia="Manrope" w:cs="Manrope"/>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Manrope" w:hAnsi="Manrope" w:eastAsia="Manrope" w:cs="Manrope"/>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rFonts w:ascii="Manrope" w:hAnsi="Manrope" w:eastAsia="Manrope" w:cs="Manrope"/>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Manrope" w:hAnsi="Manrope" w:eastAsia="Manrope" w:cs="Manrope"/>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rFonts w:ascii="Manrope" w:hAnsi="Manrope" w:eastAsia="Manrope" w:cs="Manrope"/>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Manrope" w:hAnsi="Manrope" w:eastAsia="Manrope" w:cs="Manrope"/>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rFonts w:ascii="Manrope" w:hAnsi="Manrope" w:eastAsia="Manrope" w:cs="Manrope"/>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Manrope" w:hAnsi="Manrope" w:eastAsia="Manrope" w:cs="Manrope"/>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rFonts w:ascii="Manrope" w:hAnsi="Manrope" w:eastAsia="Manrope" w:cs="Manrope"/>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Manrope" w:hAnsi="Manrope" w:eastAsia="Manrope" w:cs="Manrope"/>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rFonts w:ascii="Manrope" w:hAnsi="Manrope" w:eastAsia="Manrope" w:cs="Manrope"/>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Manrope" w:hAnsi="Manrope" w:eastAsia="Manrope" w:cs="Manrope"/>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Manrope" w:hAnsi="Manrope" w:eastAsia="Manrope" w:cs="Manrope"/>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Manrope" w:hAnsi="Manrope" w:eastAsia="Manrope" w:cs="Manrope"/>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Manrope" w:hAnsi="Manrope" w:eastAsia="Manrope" w:cs="Manrope"/>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Manrope" w:hAnsi="Manrope" w:eastAsia="Manrope" w:cs="Manrope"/>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Manrope" w:hAnsi="Manrope" w:eastAsia="Manrope" w:cs="Manrope"/>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Manrope" w:hAnsi="Manrope" w:eastAsia="Manrope" w:cs="Manrope"/>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Manrope" w:hAnsi="Manrope" w:eastAsia="Manrope" w:cs="Manrope"/>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rPr>
      <w:rFonts w:ascii="Manrope" w:hAnsi="Manrope" w:eastAsia="Manrope" w:cs="Manrope"/>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rPr>
      <w:rFonts w:ascii="Manrope" w:hAnsi="Manrope" w:eastAsia="Manrope" w:cs="Manrope"/>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rPr>
      <w:rFonts w:ascii="Manrope" w:hAnsi="Manrope" w:eastAsia="Manrope" w:cs="Manrope"/>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rPr>
      <w:rFonts w:ascii="Manrope" w:hAnsi="Manrope" w:eastAsia="Manrope" w:cs="Manrope"/>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rPr>
      <w:rFonts w:ascii="Manrope" w:hAnsi="Manrope" w:eastAsia="Manrope" w:cs="Manrope"/>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rPr>
      <w:rFonts w:ascii="Manrope" w:hAnsi="Manrope" w:eastAsia="Manrope" w:cs="Manrope"/>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rPr>
      <w:rFonts w:ascii="Manrope" w:hAnsi="Manrope" w:eastAsia="Manrope" w:cs="Manrope"/>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Manrope" w:hAnsi="Manrope" w:eastAsia="Manrope" w:cs="Manrope"/>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Manrope" w:hAnsi="Manrope" w:eastAsia="Manrope" w:cs="Manrope"/>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Manrope" w:hAnsi="Manrope" w:eastAsia="Manrope" w:cs="Manrope"/>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Manrope" w:hAnsi="Manrope" w:eastAsia="Manrope" w:cs="Manrope"/>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Manrope" w:hAnsi="Manrope" w:eastAsia="Manrope" w:cs="Manrope"/>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Manrope" w:hAnsi="Manrope" w:eastAsia="Manrope" w:cs="Manrope"/>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Manrope" w:hAnsi="Manrope" w:eastAsia="Manrope" w:cs="Manrope"/>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rPr>
      <w:rFonts w:ascii="Manrope" w:hAnsi="Manrope" w:eastAsia="Manrope" w:cs="Manrope"/>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rPr>
      <w:rFonts w:ascii="Manrope" w:hAnsi="Manrope" w:eastAsia="Manrope" w:cs="Manrope"/>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rPr>
      <w:rFonts w:ascii="Manrope" w:hAnsi="Manrope" w:eastAsia="Manrope" w:cs="Manrope"/>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rPr>
      <w:rFonts w:ascii="Manrope" w:hAnsi="Manrope" w:eastAsia="Manrope" w:cs="Manrope"/>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rPr>
      <w:rFonts w:ascii="Manrope" w:hAnsi="Manrope" w:eastAsia="Manrope" w:cs="Manrope"/>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rPr>
      <w:rFonts w:ascii="Manrope" w:hAnsi="Manrope" w:eastAsia="Manrope" w:cs="Manrope"/>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rPr>
      <w:rFonts w:ascii="Manrope" w:hAnsi="Manrope" w:eastAsia="Manrope" w:cs="Manrope"/>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rFonts w:ascii="Manrope" w:hAnsi="Manrope" w:eastAsia="Manrope" w:cs="Manrope"/>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rFonts w:ascii="Manrope" w:hAnsi="Manrope" w:eastAsia="Manrope" w:cs="Manrope"/>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rFonts w:ascii="Manrope" w:hAnsi="Manrope" w:eastAsia="Manrope" w:cs="Manrope"/>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rFonts w:ascii="Manrope" w:hAnsi="Manrope" w:eastAsia="Manrope" w:cs="Manrope"/>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rFonts w:ascii="Manrope" w:hAnsi="Manrope" w:eastAsia="Manrope" w:cs="Manrope"/>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rFonts w:ascii="Manrope" w:hAnsi="Manrope" w:eastAsia="Manrope" w:cs="Manrope"/>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rFonts w:ascii="Manrope" w:hAnsi="Manrope" w:eastAsia="Manrope" w:cs="Manrope"/>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rFonts w:ascii="Manrope" w:hAnsi="Manrope" w:eastAsia="Manrope" w:cs="Manrope"/>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rFonts w:ascii="Manrope" w:hAnsi="Manrope" w:eastAsia="Manrope" w:cs="Manrope"/>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rFonts w:ascii="Manrope" w:hAnsi="Manrope" w:eastAsia="Manrope" w:cs="Manrope"/>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rFonts w:ascii="Manrope" w:hAnsi="Manrope" w:eastAsia="Manrope" w:cs="Manrope"/>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rFonts w:ascii="Manrope" w:hAnsi="Manrope" w:eastAsia="Manrope" w:cs="Manrope"/>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rFonts w:ascii="Manrope" w:hAnsi="Manrope" w:eastAsia="Manrope" w:cs="Manrope"/>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rFonts w:ascii="Manrope" w:hAnsi="Manrope" w:eastAsia="Manrope" w:cs="Manrope"/>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rFonts w:ascii="Manrope" w:hAnsi="Manrope" w:eastAsia="Manrope" w:cs="Manrope"/>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rFonts w:ascii="Manrope" w:hAnsi="Manrope" w:eastAsia="Manrope" w:cs="Manrope"/>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rFonts w:ascii="Manrope" w:hAnsi="Manrope" w:eastAsia="Manrope" w:cs="Manrope"/>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rFonts w:ascii="Manrope" w:hAnsi="Manrope" w:eastAsia="Manrope" w:cs="Manrope"/>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rFonts w:ascii="Manrope" w:hAnsi="Manrope" w:eastAsia="Manrope" w:cs="Manrope"/>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rFonts w:ascii="Manrope" w:hAnsi="Manrope" w:eastAsia="Manrope" w:cs="Manrope"/>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rFonts w:ascii="Manrope" w:hAnsi="Manrope" w:eastAsia="Manrope" w:cs="Manrope"/>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rFonts w:ascii="Manrope" w:hAnsi="Manrope" w:eastAsia="Manrope" w:cs="Manrope"/>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rFonts w:ascii="Manrope" w:hAnsi="Manrope" w:eastAsia="Manrope" w:cs="Manrope"/>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rFonts w:ascii="Manrope" w:hAnsi="Manrope" w:eastAsia="Manrope" w:cs="Manrope"/>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rFonts w:ascii="Manrope" w:hAnsi="Manrope" w:eastAsia="Manrope" w:cs="Manrope"/>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rFonts w:ascii="Manrope" w:hAnsi="Manrope" w:eastAsia="Manrope" w:cs="Manrope"/>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rFonts w:ascii="Manrope" w:hAnsi="Manrope" w:eastAsia="Manrope" w:cs="Manrope"/>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rFonts w:ascii="Manrope" w:hAnsi="Manrope" w:eastAsia="Manrope" w:cs="Manrope"/>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Reference">
    <w:name w:val="Reference"/>
    <w:pPr>
      <w:spacing w:line="220" w:lineRule="exact" w:after="80"/>
    </w:pPr>
    <w:rPr>
      <w:rFonts w:ascii="Manrope" w:hAnsi="Manrope" w:eastAsia="Manrope" w:cs="Manrope"/>
      <w:color w:val="000000"/>
      <w:sz w:val="18"/>
    </w:rPr>
  </w:style>
  <w:style w:type="paragraph" w:customStyle="1" w:styleId="Kicker">
    <w:name w:val="Kicker"/>
    <w:pPr>
      <w:spacing w:line="250" w:lineRule="auto" w:after="160"/>
    </w:pPr>
    <w:rPr>
      <w:rFonts w:ascii="Manrope" w:hAnsi="Manrope" w:eastAsia="Manrope" w:cs="Manrope"/>
      <w:b/>
      <w:color w:val="000000"/>
      <w:sz w:val="18"/>
    </w:rPr>
  </w:style>
  <w:style w:type="paragraph" w:customStyle="1" w:styleId="TableBody">
    <w:name w:val="Table Body"/>
    <w:pPr>
      <w:spacing w:line="256" w:lineRule="exact" w:after="80"/>
    </w:pPr>
    <w:rPr>
      <w:rFonts w:ascii="Manrope" w:hAnsi="Manrope" w:eastAsia="Manrope" w:cs="Manrope"/>
      <w:color w:val="000000"/>
      <w:sz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link.springer.com/article/10.1007/s40806-024-00398-z" TargetMode="External"/><Relationship Id="rId12" Type="http://schemas.openxmlformats.org/officeDocument/2006/relationships/hyperlink" Target="https://link.springer.com/article/10.1007/s00146-024-02170-0" TargetMode="External"/><Relationship Id="rId13" Type="http://schemas.openxmlformats.org/officeDocument/2006/relationships/hyperlink" Target="https://dash.harvard.edu/entities/publication/13a7b031-0fdd-45ec-a7e0-2b80e2bc679f" TargetMode="External"/><Relationship Id="rId14" Type="http://schemas.openxmlformats.org/officeDocument/2006/relationships/hyperlink" Target="https://www.kornferry.com/institute/if-everyone-has-ai-who-has-the-advantage" TargetMode="External"/><Relationship Id="rId15" Type="http://schemas.openxmlformats.org/officeDocument/2006/relationships/hyperlink" Target="How_our_method_supports_change.docx" TargetMode="External"/><Relationship Id="rId16" Type="http://schemas.openxmlformats.org/officeDocument/2006/relationships/hyperlink" Target="https://incrementalpathway.com/organisation-journeys/" TargetMode="External"/><Relationship Id="rId17" Type="http://schemas.openxmlformats.org/officeDocument/2006/relationships/hyperlink" Target="https://incrementalpathway.com/function/" TargetMode="External"/><Relationship Id="rId18" Type="http://schemas.openxmlformats.org/officeDocument/2006/relationships/hyperlink" Target="https://incrementalpathway.com/strategic/" TargetMode="External"/><Relationship Id="rId19" Type="http://schemas.openxmlformats.org/officeDocument/2006/relationships/hyperlink" Target="How_our_method_supports_change.docx" TargetMode="External"/><Relationship Id="rId20" Type="http://schemas.openxmlformats.org/officeDocument/2006/relationships/hyperlink" Target="Read_and_listen.html" TargetMode="External"/></Relationships>
</file>

<file path=word/_rels/fontTable.xml.rels><?xml version='1.0' encoding='UTF-8' standalone='yes'?>
<Relationships xmlns="http://schemas.openxmlformats.org/package/2006/relationships"><Relationship Id="rIdTIPFontRegular" Type="http://schemas.openxmlformats.org/officeDocument/2006/relationships/font" Target="fonts/ManropeRegular.odttf"/><Relationship Id="rIdTIPFontBold" Type="http://schemas.openxmlformats.org/officeDocument/2006/relationships/font" Target="fonts/ManropeBold.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Rethinking customer value and the way work gets done</dc:title>
  <dc:subject>Customer value human adaptation and strategic choices</dc:subject>
  <dc:creator>The Incremental Pathway</dc:creator>
  <cp:keywords/>
  <dc:description/>
  <cp:lastModifiedBy/>
  <cp:revision>1</cp:revision>
  <dcterms:created xsi:type="dcterms:W3CDTF">2013-12-23T23:15:00Z</dcterms:created>
  <dcterms:modified xsi:type="dcterms:W3CDTF">2013-12-23T23:15:00Z</dcterms:modified>
  <cp:category/>
</cp:coreProperties>
</file>